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9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淮北市发展和改革委员会部门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部门绩效自评项目清单</w:t>
      </w:r>
    </w:p>
    <w:tbl>
      <w:tblPr>
        <w:tblStyle w:val="7"/>
        <w:tblW w:w="1005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058"/>
        <w:gridCol w:w="1185"/>
        <w:gridCol w:w="1125"/>
        <w:gridCol w:w="961"/>
        <w:gridCol w:w="761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全年预算数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全年执行数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预算执行率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自评得分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办公大楼运行经费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52.5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52.16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长江三角洲城市经济协调会会费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项目评估费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全市发展和改革经费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129.81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125.72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固定资产投资及节能项目审查评审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十四五规划编制费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21.33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21.33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暖民心行动第四季度政策宣传和第三方民意调查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17.26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17.26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创建信用体系经费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淮北市“十四五”新型基础设施规划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23.3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23.3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省统筹安排项目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援助上海疫情防控生活物资经费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86.42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86.42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农产品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成本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调查经费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6.29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6.29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节能监察业务经费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公共机构节能工作经费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信用体系建设系统运行维护费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146.25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价格监测经费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2022年度援藏干部工作经费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招商引资工作经费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十四五战略性新型产业发展规划编制费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清算2021年度“三重一创”专项资金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2022年煤矿安全改造项目市级配套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3744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3744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清洁能源发展专项资金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1214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1214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淮北市发展和改革委公共信用信息共享服务平台项目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155.4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155.4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2022年项目谋划前期经费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38.2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38.2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2021年项目谋划前期经费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42.83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42.83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铁路项目（第二批中央基建投资预算）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1560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1560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全市粮食工作经费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24.43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专项粮油供应费用省级补贴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专项粮油节日供应价差补贴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“智慧皖粮”信息化系统运行维护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24.9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“主食厨房”、“放心粮油”和粮食质量监测费用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粮食质量安全监测费用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储备粮、油保管轮换费用及利息补贴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880.75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874.26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物质储备经费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煤矿安全改造专项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1328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1328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自然灾害救灾资金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市级现代服务业政策奖励性资金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413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413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2022年第1批公开发行新增专项债券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6000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重点项目工作经费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34.4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33.98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淮萧客车联络线运营亏损补贴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7771.43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7271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淮北至北京高铁运营亏损补贴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增开高铁班次补贴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700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2022年第七批市直新增专项债-新建铁路建设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79200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79200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2022年第一批市直新增专项债券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10800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10800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价格认定工作经费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31.6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29.46</w:t>
            </w:r>
          </w:p>
        </w:tc>
        <w:tc>
          <w:tcPr>
            <w:tcW w:w="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93%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44"/>
        <w:gridCol w:w="936"/>
        <w:gridCol w:w="114"/>
        <w:gridCol w:w="863"/>
        <w:gridCol w:w="135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  <w:gridCol w:w="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54" w:hRule="exact"/>
          <w:jc w:val="center"/>
        </w:trPr>
        <w:tc>
          <w:tcPr>
            <w:tcW w:w="908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201" w:hRule="atLeast"/>
          <w:jc w:val="center"/>
        </w:trPr>
        <w:tc>
          <w:tcPr>
            <w:tcW w:w="908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10" w:hRule="exac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办公大楼运行经费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52.16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79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物业管理费用、环境卫生管理、绿化养护及水电费用  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物业管理费用、环境卫生管理、绿化养护及水电费用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保障到位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2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提供物业服务情况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设施维护完成率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物业服务质量达标率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1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6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需求保障时效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成本控制情况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大楼安全运行达标率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工作环境完善度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预算资金保障情况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6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43" w:hRule="exact"/>
          <w:jc w:val="center"/>
        </w:trPr>
        <w:tc>
          <w:tcPr>
            <w:tcW w:w="65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长江三角洲城市经济协调会会费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淮北市发展改革委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淮北市长三角办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6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50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作为长江三角洲城市经济协调会会员参加相关活动，落实相关工作。</w:t>
            </w:r>
          </w:p>
        </w:tc>
        <w:tc>
          <w:tcPr>
            <w:tcW w:w="35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积极融入长三角一体化发展，落实会议有关工作，报送长三角一体化发展工作总结。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3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一次性支付10万元会费。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按时完成支付。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参加长三角经济协调会等会议、活动，协调工作事项，推进长三角一体化发展。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both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满意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3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30"/>
        <w:gridCol w:w="998"/>
        <w:gridCol w:w="877"/>
        <w:gridCol w:w="1200"/>
        <w:gridCol w:w="71"/>
        <w:gridCol w:w="794"/>
        <w:gridCol w:w="855"/>
        <w:gridCol w:w="619"/>
        <w:gridCol w:w="716"/>
        <w:gridCol w:w="825"/>
        <w:gridCol w:w="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27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327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4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项目评估费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用于规划编制淮北市各项规划和项目编制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规划编制淮北市各项规划和项目编制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指标1：完成评审评价评估项目数量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3个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3个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指标1：经费支出合规性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按照财务规定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按照财务规定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按合同规定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促进经济发展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指标1：对党委政府重大决策支撑的影响程度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较高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促进经济可持续发展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指标1：满意度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176"/>
        <w:gridCol w:w="1028"/>
        <w:gridCol w:w="975"/>
        <w:gridCol w:w="165"/>
        <w:gridCol w:w="360"/>
        <w:gridCol w:w="273"/>
        <w:gridCol w:w="237"/>
        <w:gridCol w:w="614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全市发展和改革工作经费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1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129.81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125.72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97%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狠抓政策落地见效，经济平稳运行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，实施项目攻坚，不断扩大有效需求，深化产业协同发展，培育壮大新兴动能，切实加强全域统筹，区域城乡联动发展，深入践行“两山”理念，加快绿色发展步伐。</w:t>
            </w:r>
          </w:p>
        </w:tc>
        <w:tc>
          <w:tcPr>
            <w:tcW w:w="3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狠抓政策落地见效，经济运行平稳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，实施项目攻坚，有效需求不断扩大，深化产业协同发展，培育壮大新兴动能，切实加强全域统筹，区域城乡联动发展，深入践行“两山”理念，加快绿色发展步伐。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：组织重大项目开工动员4次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发展改革工作积极推进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经济平稳发展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积极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争取中央和省预算内投资项目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指标1：加快我市城市转型和经济发展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绿色低碳和循环化改造，推进资源节约集约高效利用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经济社会持续健康发展的良好态势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20"/>
        <w:gridCol w:w="998"/>
        <w:gridCol w:w="817"/>
        <w:gridCol w:w="1047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固定资产投资及节能项目审查评审费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全市年度内固定资产投资项目节能审查。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完成全市年度内固定资产投资项目节能审查。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：全市年度内固定资产投资项目节能审查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≥20个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≥20个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指标1：按要求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拨付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指标1：源头把控我市新建项目的能源消费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指标1：实现资源节约高效利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，推进绿色发展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指标1：持续推进我市资源型城市绿色转型发展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50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十四五规划编制费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21.33万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21.33万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exac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安徽省工程咨询研究院结合市服务业发展实际，对我市服务业面临的机遇与挑战进行分析，制定出具有前瞻性、指导性、可操作性的淮北市“十四五”服务业发展规划（含扩大消费规划）、对我市社会信用体系建设情况进行全面梳理，编制淮北市十四五社会信用体系建设规划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安徽省工程咨询研究院结合市服务业发展实际，对我市服务业面临的机遇与挑战进行分析，制定出具有前瞻性、指导性、可操作性的淮北市“十四五”服务业发展规划（含扩大消费规划）、对我市社会信用体系建设情况进行全面梳理，编制淮北市十四五社会信用体系建设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编制十四五发展规划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具有指导性、可操作性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符合要求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符合要求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促进服务业高质量发展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显著提升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显著提升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营造优良信用环境，提升社会诚信水平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提升社会诚信水平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提升社会诚信水平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持续推进淮北社会信用体系建设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5"/>
        <w:gridCol w:w="94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暖民心行动第四季度政策宣传和第三方民意调查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淮北市发展改革委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淮北市民生办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17.26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17.26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17.26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17.26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扎实推进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暖民心行动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高质量实施，切实保障和改善民生，不断增进人民群众获得感、幸福感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、安全感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年我市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10项暖民心行动总体群众满意度达90%以上，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人民的获得感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幸福感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安全感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得到进一步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提升。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指标1：集中发送宣传短信217万条，涉及我市全部移动和电信用户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217万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217万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通过开展第三方民意调查及时掌握群众满意度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指标1：2022年12月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指标1：切实保障和改善民生，不断增进人民群众获得感、幸福感和安全感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指标1：切实提升暖民心行动群众满意度和政策知晓率，确保行动完成质量和实施效果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创建信用体系经费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贯彻落实国家和省社会信用体系建设工作任务，创新探索城市信用建设经验做法，提升信用淮北影响力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完成国家和省信用建设任务，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通过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国家第二批社会信用体系建设示范市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复评，全省考核前列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开展信用建设宣传培训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3次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3次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编印考核资料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完成国家社会信用体系建设示范市任务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创建信用设示范市任务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完成国家社会信用体系建设示范市任务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推广信用服务实体工作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推广信易贷产品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银行入驻信易贷平台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探索信用惠民场景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开发信易+场景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 w:bidi="ar-SA"/>
              </w:rPr>
              <w:t>完成信易阅等场景推广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老百姓满意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老百姓满意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998"/>
        <w:gridCol w:w="907"/>
        <w:gridCol w:w="1005"/>
        <w:gridCol w:w="236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“十四五”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23.3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按照市政府关于统一规划体系发挥发展规划战略导向作用做好市“十四五”规划编制工作安排，对我市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Hans"/>
              </w:rPr>
              <w:t>新型基础设施建设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面临的机遇与挑战进行分析，制定出具有前瞻性、指导性、可操作性的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“十四五”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规划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由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安徽省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工程咨询研究院结合我市实际，对我市战略性新兴产业面临的机遇与挑战进行分析，制定出具有前瞻性、指导性、可操作性的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“十四五”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规划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编制十四五发展规划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具有指导性、可操作性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符合要求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符合要求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工作稳步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指标1：营造良好的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发展氛围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指标1：持续推进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30"/>
        <w:gridCol w:w="998"/>
        <w:gridCol w:w="1012"/>
        <w:gridCol w:w="900"/>
        <w:gridCol w:w="236"/>
        <w:gridCol w:w="874"/>
        <w:gridCol w:w="750"/>
        <w:gridCol w:w="360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省统筹安排项目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市发改委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300万元</w:t>
            </w:r>
          </w:p>
        </w:tc>
        <w:tc>
          <w:tcPr>
            <w:tcW w:w="3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县区项目金额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255万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255万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委项目金额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45万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县区项目金额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255万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255万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委项目金额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45万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稳投资发展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6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4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援助上海疫情防控生活物资费用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86.42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86.42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帮助上海抗击新冠肺炎疫情，保障民众基本生活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保质保量完成援助任务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生活物资供应量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68.8吨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68.8吨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新鲜、完整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新鲜、完整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新鲜、完整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按时拨付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民众满意政府满意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民众满意政府满意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民众满意政府满意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60"/>
        <w:gridCol w:w="1013"/>
        <w:gridCol w:w="862"/>
        <w:gridCol w:w="1125"/>
        <w:gridCol w:w="1140"/>
        <w:gridCol w:w="1140"/>
        <w:gridCol w:w="540"/>
        <w:gridCol w:w="225"/>
        <w:gridCol w:w="435"/>
        <w:gridCol w:w="375"/>
        <w:gridCol w:w="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294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农产品成本调查经费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成本科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6.29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粮食成本调查和粮食种植相关专项调查、蔬菜成本调查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粮食成本调查和粮食种植相关专项调查、蔬菜成本调查及各项临时布置应急调查任务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指标1：农调户和牵头人数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不少于30户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指标2：调查品种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指标1：按规定完成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指标1：满足宏观经济调控和价格管理需要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提高数据填报质量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保质保量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指标1：农调户和牵头人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≥95%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65"/>
        <w:gridCol w:w="998"/>
        <w:gridCol w:w="922"/>
        <w:gridCol w:w="1020"/>
        <w:gridCol w:w="206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节能监察业务经费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对全市各县区及重点用能单位进行日常节能管理，监督检查及评价考核工作，确保完成年度工作目标。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完成监督检查考核等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工作目标。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调查数量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hAnsi="宋体" w:eastAsia="宋体" w:cs="宋体"/>
                <w:kern w:val="0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指标1：提升我市重点用能单位用能效率和节能管理水平，实现节能增效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指标1：实现资源节约高效利，推进绿色发展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指标1：持续推进我市资源型城市绿色转型发展。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50"/>
        <w:gridCol w:w="998"/>
        <w:gridCol w:w="862"/>
        <w:gridCol w:w="1002"/>
        <w:gridCol w:w="284"/>
        <w:gridCol w:w="964"/>
        <w:gridCol w:w="945"/>
        <w:gridCol w:w="75"/>
        <w:gridCol w:w="405"/>
        <w:gridCol w:w="304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公共机构节能工作经费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完成全年公共机构节能工作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完成全年公共机构节能工作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指标1：创建节能单位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00个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hAnsi="宋体" w:cs="宋体"/>
                <w:kern w:val="0"/>
                <w:sz w:val="18"/>
                <w:szCs w:val="18"/>
                <w:lang w:val="en-US" w:eastAsia="zh-CN"/>
              </w:rPr>
              <w:t>≤1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00个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指标1：经费支出合规性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按照规定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按照规定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指标1：经费支出时效性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指标1：民众对节能意识的提升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75"/>
        <w:gridCol w:w="998"/>
        <w:gridCol w:w="862"/>
        <w:gridCol w:w="1005"/>
        <w:gridCol w:w="1065"/>
        <w:gridCol w:w="1200"/>
        <w:gridCol w:w="510"/>
        <w:gridCol w:w="199"/>
        <w:gridCol w:w="251"/>
        <w:gridCol w:w="600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信用体系建设系统运行维护费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淮北市发改委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146.25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84%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完善平台现有功能，丰富信用数据源，扩大信用信息应用范围，完成信用体系建设考核任务。</w:t>
            </w: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国家发改委和省发改委专门发函对淮北市信用体系工作表示感谢，淮北市综合信用指数在全国261个地级市中排名25位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完善系统平台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增加数据校验模块、联合建模模块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增加数据校验模块、联合建模模块等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完成国家信用示范市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考核复评任务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考核排名位居前列，通过示范市复评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年度考核全省第8，通过示范市复评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服务实体经济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提供企业信用贷款渠道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实现与金融机构联合建模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提升城市影响力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保持城市信用监测排名稳定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全国第25位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提升网站友好度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加强信息查询功能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完成信息查询和信息公示页面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信息归集单位满意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信息归集单位满意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190"/>
        <w:gridCol w:w="1051"/>
        <w:gridCol w:w="1026"/>
        <w:gridCol w:w="144"/>
        <w:gridCol w:w="510"/>
        <w:gridCol w:w="54"/>
        <w:gridCol w:w="531"/>
        <w:gridCol w:w="319"/>
        <w:gridCol w:w="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7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 xml:space="preserve">（   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价格监测经费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5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对国务院和省人民政府确定的重要商品、服务价格和成本的变动进行跟踪、采集、分析和公布的活动</w:t>
            </w:r>
          </w:p>
        </w:tc>
        <w:tc>
          <w:tcPr>
            <w:tcW w:w="32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对国务院和省人民政府确定的重要商品、服务价格和成本的变动进行跟踪、采集、分析和公布的活动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按省监测品种达标率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399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380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按省质量达标率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完整、及时、准确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完整、及时、准确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时间要求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每天及时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每天及时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为种养殖大户提供价格服务政策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优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优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为惠民菜篮子门店协商实施电价优惠政策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优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优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20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1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31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2022年度援藏干部工作经费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淮北市发展改革委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淮北市援藏援疆办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加大援藏工作力度，推进援藏各项工作任务的落实。</w:t>
            </w:r>
          </w:p>
        </w:tc>
        <w:tc>
          <w:tcPr>
            <w:tcW w:w="3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安徽省第八批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援藏工作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队积极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推进援藏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城市经济发展、民族交融等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各项工作任务的落实。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指标1：一次性支付67万元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工作经费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指标1：按时完成支付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指标1：促进援藏城市经济发展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指标1：促进汉藏民族交往交流交融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454"/>
        <w:gridCol w:w="1050"/>
        <w:gridCol w:w="675"/>
        <w:gridCol w:w="360"/>
        <w:gridCol w:w="165"/>
        <w:gridCol w:w="273"/>
        <w:gridCol w:w="267"/>
        <w:gridCol w:w="584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招商引资工作经费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0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招引优质企业签约，保障两个招商组</w:t>
            </w:r>
          </w:p>
        </w:tc>
        <w:tc>
          <w:tcPr>
            <w:tcW w:w="30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积极组织招商，荣获优秀招商组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：保障两个招商组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招引优质企业签约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需求保障时效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促进经济发展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指标1：加快我市城市转型和经济发展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经济持续健康发展的良好态势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3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十四五战略性新兴产业发展规划编制费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淮北市发展和改革委员会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淮北市发展和改革委员会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60万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市政府关于统一规划体系发挥发展规划战略导向作用做好市“十四五”规划编制工作安排，对我市战略性新兴产业面临的机遇与挑战进行分析，制定出具有前瞻性、指导性、可操作性的淮北市“十四五”战略性新兴产业发展规划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由江苏省工程咨询研究院结合我市实际，对我市战略性新兴产业面临的机遇与挑战进行分析，制定出具有前瞻性、指导性、可操作性的淮北市“十四五”战略性新兴产业发展规划。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产出指标（50分）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指标1：编制十四五战略性新兴产业发展规划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指标1：具有指导性、可操作性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指标1：推动战略性新兴产业高质量发展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指标1：营造良好的战略性新兴产业发展氛围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显著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显著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指标1：持续推进战略性新兴产业发展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35"/>
        <w:gridCol w:w="998"/>
        <w:gridCol w:w="877"/>
        <w:gridCol w:w="987"/>
        <w:gridCol w:w="664"/>
        <w:gridCol w:w="794"/>
        <w:gridCol w:w="756"/>
        <w:gridCol w:w="384"/>
        <w:gridCol w:w="241"/>
        <w:gridCol w:w="239"/>
        <w:gridCol w:w="398"/>
        <w:gridCol w:w="352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清算2021年度“三重一创“专项资金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市发展改革委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120万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120万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省厅文件于12月28日下达，皖财建〔2021〕1362号，用于淮矿集团和省矿业机电公司创新平台建设资金各60万元，共计120万元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拨付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企业数量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项目课题完成率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补助研发投入（万元）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科研成果对行业影响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成果转化对行业影响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使用企业满意度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淮北市2022年度煤矿安全改造项目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淮北市能源办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40" w:lineRule="exact"/>
              <w:ind w:firstLine="360" w:firstLineChars="200"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淮北矿业集团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3744万元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3744万元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年度内完成项目建设目标，提升防灾治灾能力和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煤矿生产力水平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，保障矿井安全稳定生产。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改造煤矿18个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增加煤矿经济效益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安全生产状况进一步改善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35"/>
        <w:gridCol w:w="998"/>
        <w:gridCol w:w="787"/>
        <w:gridCol w:w="1077"/>
        <w:gridCol w:w="284"/>
        <w:gridCol w:w="919"/>
        <w:gridCol w:w="1110"/>
        <w:gridCol w:w="844"/>
        <w:gridCol w:w="570"/>
        <w:gridCol w:w="101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淮北矿业集团清洁能源发展专项资金（非常规天然气）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淮北市发展改革委（能源办）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淮北矿业集团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1214万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1214万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开发利用煤层气，增加能源供应，实现安全发展、清洁发展、节约发展。</w:t>
            </w:r>
          </w:p>
        </w:tc>
        <w:tc>
          <w:tcPr>
            <w:tcW w:w="3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非常规天然气开采利用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申报利用量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申报利用量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采暖季非常规天然气利用量占全年比例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＞30%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＞30%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非常规天然气抽采设备情况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质量稳定、安全、可靠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质量稳定、安全、可靠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是否做到增加能源供应、减少安全事故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非常规天然气项目设备维护更新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及时、有效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及时、有效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是否减少温室气体排放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周边群众满意度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05"/>
        <w:gridCol w:w="1200"/>
        <w:gridCol w:w="543"/>
        <w:gridCol w:w="1134"/>
        <w:gridCol w:w="284"/>
        <w:gridCol w:w="1129"/>
        <w:gridCol w:w="1155"/>
        <w:gridCol w:w="615"/>
        <w:gridCol w:w="765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5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55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淮北市发展和改革委公共信用信息共享服务平台项目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淮北市发展和改革委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淮北市发展和改革委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155.4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155.4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提升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公共信用信息共享服务平台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能力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，完成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年度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全省信用平台观摩会任务，夯实城市信用监测基础。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公共信用信息共享服务平台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能力进一步提升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，完成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了年度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全省信用平台观摩会任务，夯实城市信用监测基础。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扩建8个系统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完成8个子系统扩建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完成8个子系统扩建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新建11个系统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完成11个子系统新建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完成11个子系统新建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信用淮北门户网站升级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按照信用中国相关要求完成扩建门户网站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按照信用中国相关要求完成扩建门户网站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全省信用平台观摩会任务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全省信用平台观摩会任务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完成观摩会任务，平台观摩全省第三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提升城市影响力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稳定城市信用监测排名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信用监测排名25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提升网站友好度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 w:bidi="ar-SA"/>
              </w:rPr>
              <w:t>强化服务功能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 w:bidi="ar-SA"/>
              </w:rPr>
              <w:t>服务功能提升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信息归集单位满意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信息归集单位满意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7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30"/>
        <w:gridCol w:w="998"/>
        <w:gridCol w:w="922"/>
        <w:gridCol w:w="1050"/>
        <w:gridCol w:w="330"/>
        <w:gridCol w:w="810"/>
        <w:gridCol w:w="840"/>
        <w:gridCol w:w="180"/>
        <w:gridCol w:w="345"/>
        <w:gridCol w:w="364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年项目谋划前期经费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38.2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38.2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根据文件完成目标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完成设定目标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两个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项目前期谋划方案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前期谋划方案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编制符合国家铁路相关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年将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两个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项目前期谋划方案编制完毕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方案编制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成本管理标准化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符合成本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符合成本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促进淮北外向型经济发展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方便未来市民乘坐高铁、增强我市与其他地区交流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方案编制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符合国家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生态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按标准编制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按标准编制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持续增加淮北对外经济、文化、人员等方面交流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44"/>
        <w:gridCol w:w="88"/>
        <w:gridCol w:w="848"/>
        <w:gridCol w:w="99"/>
        <w:gridCol w:w="15"/>
        <w:gridCol w:w="998"/>
        <w:gridCol w:w="622"/>
        <w:gridCol w:w="108"/>
        <w:gridCol w:w="192"/>
        <w:gridCol w:w="687"/>
        <w:gridCol w:w="234"/>
        <w:gridCol w:w="21"/>
        <w:gridCol w:w="108"/>
        <w:gridCol w:w="176"/>
        <w:gridCol w:w="154"/>
        <w:gridCol w:w="696"/>
        <w:gridCol w:w="77"/>
        <w:gridCol w:w="37"/>
        <w:gridCol w:w="737"/>
        <w:gridCol w:w="84"/>
        <w:gridCol w:w="19"/>
        <w:gridCol w:w="180"/>
        <w:gridCol w:w="101"/>
        <w:gridCol w:w="183"/>
        <w:gridCol w:w="52"/>
        <w:gridCol w:w="9"/>
        <w:gridCol w:w="364"/>
        <w:gridCol w:w="142"/>
        <w:gridCol w:w="709"/>
        <w:gridCol w:w="708"/>
        <w:gridCol w:w="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年项目谋划前期经费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8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42.83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42.83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6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根据文件完成目标</w:t>
            </w:r>
          </w:p>
        </w:tc>
        <w:tc>
          <w:tcPr>
            <w:tcW w:w="34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完成设定目标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63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两个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项目前期谋划方案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前期谋划方案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编制符合国家铁路相关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年将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两个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项目前期谋划方案编制完毕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方案编制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成本管理标准化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符合成本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符合成本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促进淮北外向型经济发展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方便未来市民乘坐高铁、增强我市与其他地区交流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方案编制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符合国家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生态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按标准编制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按标准编制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持续增加淮北对外经济、文化、人员等方面交流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3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61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"javascript:void(0)" \o "安徽淮北平山电厂二期工程铁路专用线项目"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安徽淮北平山电厂二期工程铁路专用线项目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end"/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淮北市发展和改革委员会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淮北市铁路建设办公室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166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1560</w:t>
            </w: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1560</w:t>
            </w: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6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1560</w:t>
            </w: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3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3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完成铁路专用线建设，保障国家示范工程平山电厂二期1350MW发电机组的安全稳定运行</w:t>
            </w:r>
          </w:p>
        </w:tc>
        <w:tc>
          <w:tcPr>
            <w:tcW w:w="34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铁路专用线建设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完成，保障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平山电厂二期1350MW发电机组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顺利运营投产。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2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产出指标（50分）</w:t>
            </w: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指标1：建设资金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按审计及协议完成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按审计及协议完成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指标1：达到铁路相关规范要求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满足实际运行需要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指标1：按协议要求时间拨付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指标1：严格按照概算对费用支出进行严格控制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指标1：能够满足项目评估中的相关测算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指标1：安全稳定运行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指标1：能够满足相关部门环评、水保的要求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0分）</w:t>
            </w: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指标1：满意度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54" w:hRule="exact"/>
          <w:jc w:val="center"/>
        </w:trPr>
        <w:tc>
          <w:tcPr>
            <w:tcW w:w="9080" w:type="dxa"/>
            <w:gridSpan w:val="3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201" w:hRule="atLeast"/>
          <w:jc w:val="center"/>
        </w:trPr>
        <w:tc>
          <w:tcPr>
            <w:tcW w:w="9080" w:type="dxa"/>
            <w:gridSpan w:val="3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全市粮食工作经费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24.43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9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粮食购销存流通统计、粮食市场监测预警、粮食产业经济统计、粮食仓储设施和基础建设投资统计、粮食行业机构与从业人员统计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等相关事宜</w:t>
            </w:r>
          </w:p>
        </w:tc>
        <w:tc>
          <w:tcPr>
            <w:tcW w:w="340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粮食购销存流通统计、粮食市场监测预警、粮食产业经济统计、粮食仓储设施和基础建设投资统计、粮食行业机构与从业人员统计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等相关事宜完成较好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4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粮食流通统计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指标1：粮食收购、出库价格监测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周报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周报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1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社会粮油供需平衡调查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次数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4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：粮油批发、零售价格监测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周报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周报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0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  <w:r>
              <w:rPr>
                <w:rFonts w:ascii="宋体" w:hAnsi="宋体" w:eastAsia="宋体" w:cs="宋体"/>
                <w:sz w:val="18"/>
                <w:szCs w:val="18"/>
              </w:rPr>
              <w:t>统计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基础</w:t>
            </w:r>
            <w:r>
              <w:rPr>
                <w:rFonts w:ascii="宋体" w:hAnsi="宋体" w:eastAsia="宋体" w:cs="宋体"/>
                <w:sz w:val="18"/>
                <w:szCs w:val="18"/>
              </w:rPr>
              <w:t>规范化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建设水平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5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eastAsia="宋体" w:cs="宋体"/>
                <w:sz w:val="18"/>
                <w:szCs w:val="18"/>
              </w:rPr>
              <w:t>统计资料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准确率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真实准确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真实准确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及时性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sz w:val="18"/>
                <w:szCs w:val="18"/>
              </w:rPr>
              <w:t>服务粮食宏观调控和指导粮食产业经济发展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7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5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8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粮食的宏观调控和管理的依据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7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652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998"/>
        <w:gridCol w:w="730"/>
        <w:gridCol w:w="1134"/>
        <w:gridCol w:w="284"/>
        <w:gridCol w:w="949"/>
        <w:gridCol w:w="1035"/>
        <w:gridCol w:w="60"/>
        <w:gridCol w:w="585"/>
        <w:gridCol w:w="510"/>
        <w:gridCol w:w="405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专项粮油供应省级费用补贴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淮北市粮食和储备局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市军粮供应站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进一步提升质量全面供应优质大米和特制一等小麦粉，强化质检，吃的健康，吃出战斗力</w:t>
            </w: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专项粮油供应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专项粮油符合相关质量标准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专项粮油供应时效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平时：</w:t>
            </w:r>
            <w:r>
              <w:rPr>
                <w:rFonts w:hint="default" w:ascii="Arial" w:hAnsi="Arial" w:cs="Arial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1次/月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资金到位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提升战斗力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有效保障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有效保障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专项粮油保障能力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持续提升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持续提升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受供单位满意度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8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0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专项粮油供应网点建设及节日供应差价补贴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淮北市粮食和储备局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市军粮供应站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确保不断货、不断档、不脱销，确保质量安全。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保证节日供应粮食质量安全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资金到位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确保不断货、不断档、不脱销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受供单位满意度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10" w:tblpY="573"/>
        <w:tblOverlap w:val="never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29"/>
        <w:gridCol w:w="905"/>
        <w:gridCol w:w="917"/>
        <w:gridCol w:w="217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340" w:firstLineChars="130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“智慧皖粮”信息化系统运行维护费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24.9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95.77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稳定信息化系统设备在线率、数据质量保持在全省先进行列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“智慧皖粮”信息化系统设备在线率、数据质量保持全省前列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维保库点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在线率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99.5%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收储效率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粮库安全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企业满意度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947"/>
        <w:gridCol w:w="895"/>
        <w:gridCol w:w="1134"/>
        <w:gridCol w:w="284"/>
        <w:gridCol w:w="965"/>
        <w:gridCol w:w="1020"/>
        <w:gridCol w:w="540"/>
        <w:gridCol w:w="168"/>
        <w:gridCol w:w="372"/>
        <w:gridCol w:w="47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主食厨房”、“放心粮油”和粮食质量监管监测工作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负责组织实施全市粮食质量监管和监测工作。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负责组织实施全市粮食质量监管和监测工作。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：监管数量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质量达标率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按省要求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按时监管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按时监管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指标1：提升食品安全水平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达到预期效果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指标1：促进粮食产业健康发展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048"/>
              </w:tabs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粮食质量安全检测费用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对全市粮食质量安全监测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对全市粮食质量安全监测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检测数量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批次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批次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质量达标率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入库批次率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指标1：全市粮食质量安全得到保障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维护粮食安全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998"/>
        <w:gridCol w:w="907"/>
        <w:gridCol w:w="1035"/>
        <w:gridCol w:w="300"/>
        <w:gridCol w:w="810"/>
        <w:gridCol w:w="797"/>
        <w:gridCol w:w="358"/>
        <w:gridCol w:w="209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储备粮、油保管费用及利息补贴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市属国有粮食企业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880.75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874.26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建立和完善市级成品粮应急储备是稳定粮油市场，有效应对地震、雪灾、水灾等自然灾害和及时处理突发粮食事件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成品粮储备数量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3800吨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储备数量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1000吨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国家质量标准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执行进度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按计划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按计划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保障粮、油食安全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加强粮食宏观调控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加强油宏观调控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95" w:tblpY="588"/>
        <w:tblOverlap w:val="never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物资储备经费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zh-CN"/>
              </w:rPr>
              <w:t>委托第三方机构用于储存救灾物资所发生的仓储占用费、仓储维护费、物资保险费、物资维修保养费、人工费和物资短途装运费的支出。救灾仓储设施设备维护保养，救灾物资全年委托管理费用为代储省级救灾物资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zh-CN"/>
              </w:rPr>
              <w:t>委托第三方机构用于储存救灾物资所发生的仓储占用费、仓储维护费、物资保险费、物资维修保养费、人工费和物资短途装运费的支出。救灾仓储设施设备维护保养，救灾物资全年委托管理费用为代储省级救灾物资</w:t>
            </w:r>
            <w:r>
              <w:rPr>
                <w:rFonts w:hint="eastAsia" w:ascii="宋体" w:hAnsi="宋体" w:cs="宋体"/>
                <w:kern w:val="2"/>
                <w:sz w:val="18"/>
                <w:szCs w:val="22"/>
                <w:lang w:val="en-US" w:eastAsia="zh-CN" w:bidi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工作完成情况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良好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良好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按期完成情况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按序时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按序时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经济互动协作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社会民生共享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生态环境共治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项目持续发挥作用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0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淮北市2022年度煤矿安全改造项目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淮北市能源办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皖北煤电集团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1328万元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1328万元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年度内完成项目建设目标，提升防灾治灾能力和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煤矿生产力水平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，保障矿井安全稳定生产。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改造煤矿18个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增加煤矿经济效益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安全生产状况进一步改善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90"/>
        <w:gridCol w:w="998"/>
        <w:gridCol w:w="847"/>
        <w:gridCol w:w="1017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自然灾害救灾资金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  <w:jc w:val="center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《省财政厅 省应急厅关于下达2021年中央和省级自然灾害救灾资金预算的通知》（皖财资环【2021】1366号)12月27日下达资金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《省财政厅 省应急厅关于下达2021年中央和省级自然灾害救灾资金预算的通知》（皖财资环【2021】1366号)12月27日下达资金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急救灾资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金下拨率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添置物资验收通过率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指标1：按照应急物资管理规定按时调拨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截至2021年12月底资金下达率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灾区社会秩序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稳定有序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稳定有序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受灾群众生活质量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提升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指标1：受灾群众满意度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556" w:tblpY="257"/>
        <w:tblOverlap w:val="never"/>
        <w:tblW w:w="92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78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330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市级现代服务业政策奖励性资金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资金按时拨付企业，助企纾困，质量效益不断提高。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资金及时拨付县区，企业效益不断提升。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及时拨付县区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及时拨付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及时拨付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服务业平稳发展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质效不断提升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质效不断提升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企业满意度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tbl>
      <w:tblPr>
        <w:tblStyle w:val="6"/>
        <w:tblW w:w="93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54"/>
        <w:gridCol w:w="222"/>
        <w:gridCol w:w="1060"/>
        <w:gridCol w:w="785"/>
        <w:gridCol w:w="1200"/>
        <w:gridCol w:w="1211"/>
        <w:gridCol w:w="1176"/>
        <w:gridCol w:w="685"/>
        <w:gridCol w:w="515"/>
        <w:gridCol w:w="321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3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14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1440" w:firstLineChars="800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阜阳至蒙城至宿州（淮北）铁路（淮北段）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-SA"/>
              </w:rPr>
              <w:t xml:space="preserve">项目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淮北市发展和改革委员会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淮北市铁路建设办公室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00%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上年结转资金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推进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先行用地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征地拆迁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，正式用地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组卷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报批工作，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推进项目前期工作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3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先行用地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征地拆迁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已启动，正式用地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组卷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已上报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省自然资源厅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5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建设资金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达到铁路规范要求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按建设进度拨付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按照概算支出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按评估测算要求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安全稳定运行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720" w:leftChars="0" w:hanging="720" w:hangingChars="400"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满足环评、水保要求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重点项目工作经费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33.98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推进市级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续建和新开工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重点项目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个，年度计划投资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亿元；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省级续建和新开工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重点项目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个，年计划投资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541.7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亿元。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市级重点项目完成投资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658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亿元，占年度计划的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106.2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%；省重点项目完成投资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549.9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亿元，占年度计划的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101.5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市级重点项目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414个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省重点项目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329个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保证成本稳定性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稳定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市级重点项目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亿元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658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亿元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省重点项目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541.7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亿元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549.9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亿元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加快推进重点项目建设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无指标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助推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我市经济持续健康较快发展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304"/>
        <w:gridCol w:w="547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淮萧客车联络线运营亏损补贴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发展改革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铁路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7771.43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7271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94%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为使建成后的线路能持续运营，对淮北至萧县北客车联络线运营后亏损进行补贴。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为使建成后的线路能持续运营，对淮北至萧县北客车联络线运营后亏损进行补贴。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亏损补贴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按审计及协议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按审计及协议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季度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支付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指标1：为使建成后的线路能持续运营,保障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淮北市民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出行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需求。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群众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304"/>
        <w:gridCol w:w="547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淮北至北京高铁运营亏损补贴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发展改革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铁路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为使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新增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线路能持续运营，对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本年度开行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北京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动车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运营后亏损进行补贴。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北京高铁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运营后亏损补贴。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亏损补贴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按协议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按协议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支付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指标1：为使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北京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动车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能持续运营,保障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淮北市民前往北京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出行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需求。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43"/>
        <w:gridCol w:w="1101"/>
        <w:gridCol w:w="688"/>
        <w:gridCol w:w="1176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淮北增开高铁班次运营亏损补贴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080" w:firstLineChars="60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淮北市发展改革委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铁路办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上年结转资金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为使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新增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线路能持续运营，对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本年度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增开高铁班次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运营后亏损进行补贴。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增开高铁班次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运营后亏损补贴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亏损补贴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按协议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按协议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按年支付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为使增开高铁班次能满足市民出行需求。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59"/>
        <w:gridCol w:w="122"/>
        <w:gridCol w:w="679"/>
        <w:gridCol w:w="219"/>
        <w:gridCol w:w="61"/>
        <w:gridCol w:w="763"/>
        <w:gridCol w:w="235"/>
        <w:gridCol w:w="730"/>
        <w:gridCol w:w="118"/>
        <w:gridCol w:w="1016"/>
        <w:gridCol w:w="259"/>
        <w:gridCol w:w="25"/>
        <w:gridCol w:w="785"/>
        <w:gridCol w:w="57"/>
        <w:gridCol w:w="96"/>
        <w:gridCol w:w="763"/>
        <w:gridCol w:w="84"/>
        <w:gridCol w:w="199"/>
        <w:gridCol w:w="58"/>
        <w:gridCol w:w="85"/>
        <w:gridCol w:w="203"/>
        <w:gridCol w:w="34"/>
        <w:gridCol w:w="246"/>
        <w:gridCol w:w="83"/>
        <w:gridCol w:w="99"/>
        <w:gridCol w:w="43"/>
        <w:gridCol w:w="150"/>
        <w:gridCol w:w="160"/>
        <w:gridCol w:w="399"/>
        <w:gridCol w:w="94"/>
        <w:gridCol w:w="7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826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360" w:firstLineChars="2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宿州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蚌埠城际铁路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"/>
              </w:rPr>
              <w:t>项目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阜阳至蒙城至宿州（淮北）铁路（淮北段）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-SA"/>
              </w:rPr>
              <w:t xml:space="preserve">项目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淮北市发展和改革委员会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淮北市铁路建设办公室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79200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79200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79200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  <w:jc w:val="center"/>
        </w:trPr>
        <w:tc>
          <w:tcPr>
            <w:tcW w:w="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</w:rPr>
              <w:t>1.推进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宿州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蚌埠城际铁路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"/>
              </w:rPr>
              <w:t>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全面开工建设，各标段按照工期进行项目主体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路基、桥涵基础施工。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2.推进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阜阳至蒙城至宿州（淮北）铁路（淮北段）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先行用地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征地拆迁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，正式用地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组卷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报批工作，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推进项目前期工作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-SA"/>
              </w:rPr>
              <w:t xml:space="preserve"> </w:t>
            </w:r>
          </w:p>
        </w:tc>
        <w:tc>
          <w:tcPr>
            <w:tcW w:w="355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宿州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蚌埠城际铁路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"/>
              </w:rPr>
              <w:t>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全面开工建设，各标段按照工期有序施工，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桥梁桩基完成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83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%，承台完成46%，墩身完成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27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%。。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阜阳至蒙城至宿州（淮北）铁路（淮北段）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先行用地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征地拆迁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已启动，正式用地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组卷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报批已上报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省自然资源厅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4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建设资金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达到铁路规范要求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</w:t>
            </w: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按建设进度拨付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按照概算支出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按评估测算要求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安全稳定运行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满足环评、水保要求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度指标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66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7607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ab/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宿州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蚌埠城际铁路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"/>
              </w:rPr>
              <w:t>项目</w:t>
            </w:r>
          </w:p>
          <w:p>
            <w:pPr>
              <w:widowControl/>
              <w:tabs>
                <w:tab w:val="left" w:pos="2251"/>
              </w:tabs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淮北市发展和改革委员会</w:t>
            </w: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实施单位</w:t>
            </w:r>
          </w:p>
        </w:tc>
        <w:tc>
          <w:tcPr>
            <w:tcW w:w="22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淮北市铁路建设办公室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10800</w:t>
            </w:r>
          </w:p>
        </w:tc>
        <w:tc>
          <w:tcPr>
            <w:tcW w:w="1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10800</w:t>
            </w: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10800</w:t>
            </w:r>
          </w:p>
        </w:tc>
        <w:tc>
          <w:tcPr>
            <w:tcW w:w="1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6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6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全面开工建设，各标段按照工期进行项目主体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路基、桥涵基础施工。</w:t>
            </w:r>
          </w:p>
        </w:tc>
        <w:tc>
          <w:tcPr>
            <w:tcW w:w="346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各标段按照工期有序施工，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桥梁桩基完成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83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%，承台完成46%，墩身完成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27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建设资金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达到铁路规范要求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按建设进度拨付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按照概算支出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按评估测算要求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安全稳定运行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720" w:hanging="720" w:hangingChars="4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满足环评、水保要求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8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价格认定专项经费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价格认证中心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68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31.6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29.46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93%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72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1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72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完成价格认定工作</w:t>
            </w:r>
          </w:p>
        </w:tc>
        <w:tc>
          <w:tcPr>
            <w:tcW w:w="361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完成价格认定工作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72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完成价格认定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1331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起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完成省价格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认证中心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上报任务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价格认定结论无差错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在规定时限内完成省价格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认证中心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任务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在规定时限内完成价格认定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资金使用节约率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解决各种价格纠纷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保持价格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认定结论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的权威性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保持客观独立性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全市居民满意度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标2：提出机关满意率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  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信用体系建设系统运行维护费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right="0"/>
        <w:jc w:val="center"/>
        <w:textAlignment w:val="auto"/>
        <w:rPr>
          <w:rFonts w:hint="default" w:ascii="Times New Roman" w:hAnsi="Times New Roman" w:cs="Times New Roman"/>
          <w:sz w:val="19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项目支出绩效评价报告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right="0" w:firstLine="380" w:firstLineChars="200"/>
        <w:textAlignment w:val="auto"/>
        <w:rPr>
          <w:rFonts w:hint="default" w:ascii="Times New Roman" w:hAnsi="Times New Roman" w:cs="Times New Roman"/>
          <w:sz w:val="19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一、项目基本情况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一）项目概况。为贯彻落实国家、省关于信用体系建设重要部署，深入推进我市社会信用体系建设，完成目标绩效管理考核、营商环境季度评价评议等考核任务，努力保持城市信用监测排名稳居全国前列。项目均已实施并有效开展，主要内容包括市信用信息共享服务平台运营维护；市信用信息共享服务平台信息安全等级状况第三方测评；市信用借阅系统运营服务；城市社会信用状况监测与分析服务；聘用第三方机构参与有关社会信用体系建设项目；信用体系建设“十四五”规划。项目资金投入156.26万元， 已使用146.25万元。</w:t>
      </w:r>
    </w:p>
    <w:p>
      <w:pPr>
        <w:pStyle w:val="3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 xml:space="preserve">  （二）项目绩效目标。完善平台现有功能，丰富信用数据源，扩大信用信息应用范围，完成信用体系建设考核任务。一是通过对信用信息共享平台运营维护，保障平台网站安全稳定运行，为社会提供信息查询、信息公示和信用核查等专业化、规范化的基础信用服务。同时，对信用平台实施信息安全等级保护测评，完善系统安全管理体系，提高系统信息安全防护能力，保障企业和个人信息安全。二是通过信用借阅系统运营服务，拓展信用惠民领域，完成信用体系建设考核信用场景考核指标。三是通过城市社会信用状况监测与分析服务，对我市各行业、领域及所辖县区进行信用状况监测分析，并根据监测结果及时采取有效措施，提升淮北市在全国261个地级市的信用排名。四是参照国家发改委和省发改委做法，引入信用服务第三方机构参与行业信用建设和信用监管工作，帮助我市及时对接国家信用建设标准要求，补齐信用体系建设短板，打牢我市信用体系建设考核基础。</w:t>
      </w:r>
    </w:p>
    <w:p>
      <w:pPr>
        <w:pStyle w:val="3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二、绩效评价工作开展情况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（一）绩效评价目的、对象和范围。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1.绩效评价目的。绩效评价秉承科学规范、公平公正、分级分类、绩效相关等原则，按照项目立项、预算管理、项目实施的分析路径，结合信用体系建设考核要求，运用定量和定性分析相结合的方法，总结经验做法，切实提升财政资金管理的科学化、规范化和精细化水平，为今后类似项目实施、管理提供经验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2.绩效评价对象。信用体系建设系统运行维护费项目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3.绩效评价范围。项目实施程序、质量、进度以及项目支付情况。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（二）绩效评价原则、评价指标体系（附表说明）、评价方法、评价标准等。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1.绩效评价原则。绩效评价应当遵循以下基本原则：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（1）科学规范。绩效评价注重财政支出的经济性、效率性和有效性，严格执行规定的程序，采用定量与定性分析相结合的方法。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（2）公正公开。绩效评价客观、公正，标准统一、资料可靠，依法公开并接受监督。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（3）分级分类。绩效评价由各级财政部门、部门（单位）根据评价对象的特点，分类组织实施。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（4）绩效相关。绩效评价针对具体支出及其产出绩效进行，评价结果清晰反映支出和产出绩效之间的紧密对应关系。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2.评价指标体系。根据财政部《预算效评价共性指标体系框架》等文件精神及项目的具体特点，设置科学合理可行的评价体系。包括项目投入指标；产出指标（产出数量指标.产出质量指标、产出时效指标、产出经济效益指标）；效果指标（社会效益指标）；服务对象满意度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3.评价方法。本项目主要采用因素分析法。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4.评价标准。严格执行《财政部关于印发&lt;项目支出绩效评价管理办法&gt;的通知》（财预〔2020〕10号）和《关于印发&lt;淮北市预算绩效管理考核暂行办法&gt;等相关办法的通知》（淮绩效办〔2020〕1号）等文件要求对财政下拨的价格认定专项经费进行评价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（三）绩效评价工作过程。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实施本次绩效评价，首先根据项目预先设立的绩效目标、项目管理办法、专项资金管理办法、项目实施方案等资料，选择合适的评价指标和标准，同时明确本次绩效评价的目的、方法、评价的原则、评价标准、时间安排等，形成绩效评价工作方案。提交部门审核，并根据审核意见进一步修改和完善绩效评价工作方案。然后运用科学的评价方法，对资金使用全过程及其支出的经济性、效率性和效益性进行客观公正的综合评价，以衡量预算绩效管理培训项目资金的使用绩效，同时分析其是否达到预期目标，并以书面形式分析绩效优劣的原因、造成的不良后果及影响，提出改进的意见和建议，最后撰写绩效评价报告。</w:t>
      </w:r>
    </w:p>
    <w:p>
      <w:pPr>
        <w:pStyle w:val="3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三、综合评价情况及评价结论（附相关评分表）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全面客观了解是社会信用服务中心中心经费资金的使用情况，各项工作按照计划有序实施，完成数量和质量均得到有效控制；实施过程监管到位，水平总体提高；通过项目支出计划的组织实施，产生较显著的社会效益；对项目资金的使用监管有力有效，全年项目支出达到了预期的绩效目标。通过对项目绩效指标的综合考核评分，2022年度我中心项目绩效自评得分为100分。</w:t>
      </w:r>
    </w:p>
    <w:p>
      <w:pPr>
        <w:pStyle w:val="3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四、绩效评价指标分析（可附表进行分析）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（一）项目决策情况。信用体系建设系统运行维护费项目实施经过立项、预算编制、预算审核、招标询价相关程序，决策科学合理，程序规范可行。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（二）项目过程情况。在项目实施过程中，具有相应的项目质量要求，管理制度健全，资金使用规范，资金使用拨付审批程序规范，凭证有效、完整。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三）项目产出情况。一是保障了信用平台和网站的安全稳定运行。平台累计归集2906余万条，归集“双公示”数据10.8万条，归集纳税、水气电、合同履约、知识产权等融资相关信用信息259万条，为信用赋能实体经济打下坚实的数据基础。二是完善了系统安全管理体系和技术防护体系，提高了系统信息安全防护能力，有力保障企业和个人信息安全。三是拓展信用惠民领域工作，为全国城市信用状况监测排名、省社会信用体系建设目标考核提供加分因素。四是根据各行业各区域监测结果及时采取有效措施，有效提升了淮北市在全国261个地级市的信用排名。五是通过第三方机构参与社会信用体系建设，我市信用平台获全省平台评比观摩第3名、双公示工作位居全省第3位，信易贷平台实现与金融机构联合建模，累计为6963户次企业授信211.74亿元。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四）项目效益情况。通过本次项目的实施，帮助淮北在全省考核中争先进位，使淮北市在全国261个地级市中的排名，夯实国家社会信用体系示范市基础，提高淮北在全国的影响力和知名度。2022年，国家发改委和省发改委专门发函对淮北市信用体系工作表示感谢，淮北市综合信用指数在全国261个地级市中排名25位。</w:t>
      </w:r>
    </w:p>
    <w:p>
      <w:pPr>
        <w:pStyle w:val="3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五、主要经验及做法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一是要确保绩效目标合理性。项目建设目标设定为解决淮北市信用工作的实际问题，与淮北市信用工作的长期规划相关，与年度工作目标一致，与项目设计解决的痛点问题相匹配，并且具有一定的前瞻性和挑战性。二是确保实施方案可行性。项目是为适应信用体系建设新阶段进行编排，同时结合我市当信用平台获全省平台评比观摩第3名、双公示工作位居全省第3位前信用体系建设工作的现状进行综合考虑，从服务实体经济、优化营商环境、城市信用监测排名、信用考核和示范城市复评等我市重点关注的方面进行建设，项目实施内容明确具体。三是确保筹资合规性。预算申请和项目编排主要是依据《关于推进社会信用体系建设高质量发展促进形成新发展格局的意见》、《安徽省推进社会信用体系建设高质量发展行动方案》、《城市信用状况监测预警指标（2022年版）》、《社会信用体系建设示范区评审指标（2022版）》、《关于加强信用信息共享应用推进融资信用服务平台网络建设的通知》等一系列文件要求，统筹考虑信用体系建设工作，结合节约财政资金原则，选取一些必须实施且弥补我市短板的重点项目。</w:t>
      </w:r>
    </w:p>
    <w:p>
      <w:pPr>
        <w:pStyle w:val="3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六、存在问题及原因分析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无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七、有关建议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项目单位应牢固树立绩效目标意识，保持目标和实际工作的一致性，根据实际情况申报科学、合理、高效、专业的设置预算绩效目标。通过将目标分解细化、清晰量化，为项目实施指定方向。项目实施过程中，及时发现项目执行偏离情况，采取针对性的措施进行项目纠偏，以推动整个项目绩效水平的提升，促进项目绩效目标的实现程度。</w:t>
      </w:r>
    </w:p>
    <w:p>
      <w:pPr>
        <w:pStyle w:val="3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八、其他需要说明的问题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无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附：1.信用体系建设系统运行维护费项目绩效目标完成清单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2.信用体系建设系统运行维护费项目绩效评价问题清单</w:t>
      </w:r>
    </w:p>
    <w:p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3.信用体系建设系统运行维护费项目绩效评价评分情况表</w:t>
      </w:r>
    </w:p>
    <w:p>
      <w:pP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br w:type="page"/>
      </w:r>
    </w:p>
    <w:p>
      <w:pPr>
        <w:pStyle w:val="3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0"/>
        <w:jc w:val="left"/>
        <w:textAlignment w:val="auto"/>
        <w:rPr>
          <w:rFonts w:hint="default" w:ascii="Times New Roman" w:hAnsi="Times New Roman" w:cs="Times New Roman"/>
          <w:sz w:val="48"/>
        </w:rPr>
      </w:pPr>
      <w:r>
        <w:rPr>
          <w:rFonts w:hint="default" w:ascii="Times New Roman" w:hAnsi="Times New Roman" w:eastAsia="黑体" w:cs="Times New Roman"/>
          <w:sz w:val="28"/>
        </w:rPr>
        <w:t>附表1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center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cs="Times New Roman"/>
          <w:w w:val="95"/>
          <w:lang w:val="en-US" w:eastAsia="zh-CN"/>
        </w:rPr>
        <w:t>信用体系建设系统运行维护费</w:t>
      </w:r>
      <w:r>
        <w:rPr>
          <w:rFonts w:hint="default" w:ascii="Times New Roman" w:hAnsi="Times New Roman" w:eastAsia="黑体" w:cs="Times New Roman"/>
        </w:rPr>
        <w:t>项目绩效目标完成清单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</w:rPr>
      </w:pPr>
    </w:p>
    <w:tbl>
      <w:tblPr>
        <w:tblStyle w:val="6"/>
        <w:tblW w:w="13485" w:type="dxa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5262"/>
        <w:gridCol w:w="5625"/>
        <w:gridCol w:w="15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08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8" w:right="18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序号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31" w:right="2099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val="en-US" w:eastAsia="zh-CN"/>
              </w:rPr>
              <w:t>绩效目标设定情况</w:t>
            </w:r>
          </w:p>
        </w:tc>
        <w:tc>
          <w:tcPr>
            <w:tcW w:w="562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8" w:right="2176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eastAsia="zh-CN"/>
              </w:rPr>
              <w:t>绩效目标完成情况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06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08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right="18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（一）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7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总体目标任务：</w:t>
            </w:r>
          </w:p>
        </w:tc>
        <w:tc>
          <w:tcPr>
            <w:tcW w:w="562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9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总体目标完成情况：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7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保障市信用平台和网站的安全稳定运行</w:t>
            </w:r>
          </w:p>
        </w:tc>
        <w:tc>
          <w:tcPr>
            <w:tcW w:w="562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为社会提供信息查询、信息公示和信用核查等专业化、规范化的基础信用服务，有效支撑政府部门开展以信用为基础的服务和监管，2021年市信用平台累计归集54 家市级部门单位、4个县区信用数据520多万条。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2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平台和网站进行安全等级测评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562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提高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系统信息安全防护能力，保障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企业和个人信息安全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，实现年度测评完全达标。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3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市信用借阅系统运营服务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有效运行</w:t>
            </w:r>
          </w:p>
        </w:tc>
        <w:tc>
          <w:tcPr>
            <w:tcW w:w="562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完成了信用体系建设考核信用场景考核指标。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5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lang w:val="en-US" w:eastAsia="zh-CN"/>
              </w:rPr>
              <w:t>4</w:t>
            </w:r>
          </w:p>
        </w:tc>
        <w:tc>
          <w:tcPr>
            <w:tcW w:w="526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城市社会信用状况监测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排名保持前列</w:t>
            </w:r>
          </w:p>
        </w:tc>
        <w:tc>
          <w:tcPr>
            <w:tcW w:w="56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有效提升淮北市在全国261个地级市的信用排名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我市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年度平均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综合信用指数居全国第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位。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0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5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4"/>
                <w:lang w:val="en-US" w:eastAsia="zh-CN"/>
              </w:rPr>
            </w:pPr>
          </w:p>
        </w:tc>
        <w:tc>
          <w:tcPr>
            <w:tcW w:w="526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第三方机构参与行业信用建设和信用监管工作取得成效。</w:t>
            </w:r>
          </w:p>
        </w:tc>
        <w:tc>
          <w:tcPr>
            <w:tcW w:w="56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信用平台获全省平台评比观摩第3名、双公示工作位居全省第3位</w:t>
            </w:r>
          </w:p>
        </w:tc>
        <w:tc>
          <w:tcPr>
            <w:tcW w:w="159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08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right="18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（二）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7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年度绩效目标：</w:t>
            </w:r>
          </w:p>
        </w:tc>
        <w:tc>
          <w:tcPr>
            <w:tcW w:w="562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9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年度绩效目标完成情况：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7"/>
              <w:textAlignment w:val="auto"/>
              <w:rPr>
                <w:rFonts w:hint="default" w:ascii="Times New Roman" w:hAnsi="Times New Roman" w:eastAsia="宋体" w:cs="Times New Roman"/>
                <w:sz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lang w:val="en-US" w:eastAsia="zh-CN"/>
              </w:rPr>
              <w:t>信用体系建设考核保持领先</w:t>
            </w:r>
          </w:p>
        </w:tc>
        <w:tc>
          <w:tcPr>
            <w:tcW w:w="562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9"/>
              <w:textAlignment w:val="auto"/>
              <w:rPr>
                <w:rFonts w:hint="default" w:ascii="Times New Roman" w:hAnsi="Times New Roman" w:eastAsia="宋体" w:cs="Times New Roman"/>
                <w:sz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lang w:val="en-US" w:eastAsia="zh-CN"/>
              </w:rPr>
              <w:t>2022年度，信用体系建设考核全省第8名。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</w:tc>
        <w:tc>
          <w:tcPr>
            <w:tcW w:w="5262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562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</w:rPr>
        <w:sectPr>
          <w:footerReference r:id="rId3" w:type="default"/>
          <w:pgSz w:w="16838" w:h="11911" w:orient="landscape"/>
          <w:pgMar w:top="1480" w:right="1582" w:bottom="1417" w:left="1582" w:header="0" w:footer="1383" w:gutter="0"/>
          <w:pgNumType w:fmt="numberInDash" w:start="15"/>
          <w:cols w:space="720" w:num="1"/>
          <w:rtlGutter w:val="0"/>
          <w:docGrid w:linePitch="1" w:charSpace="0"/>
        </w:sect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sz w:val="15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78" w:right="0" w:firstLine="0"/>
        <w:jc w:val="left"/>
        <w:textAlignment w:val="auto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附表2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b/>
          <w:bCs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</w:rPr>
        <w:t>信用体系建设系统运行维护费项目绩效评价问题清</w:t>
      </w:r>
      <w:r>
        <w:rPr>
          <w:rFonts w:hint="default" w:ascii="Times New Roman" w:hAnsi="Times New Roman" w:eastAsia="黑体" w:cs="Times New Roman"/>
          <w:b/>
          <w:bCs/>
          <w:lang w:eastAsia="zh-CN"/>
        </w:rPr>
        <w:t>单</w:t>
      </w:r>
    </w:p>
    <w:tbl>
      <w:tblPr>
        <w:tblStyle w:val="6"/>
        <w:tblW w:w="13957" w:type="dxa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1560"/>
        <w:gridCol w:w="1965"/>
        <w:gridCol w:w="3465"/>
        <w:gridCol w:w="3510"/>
        <w:gridCol w:w="14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02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85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问题分类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69" w:right="438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eastAsia="zh-CN"/>
              </w:rPr>
              <w:t>序号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51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责任部门（单位）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48" w:right="121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问题描述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96" w:right="126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整改建议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10" w:right="478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002" w:type="dxa"/>
            <w:tcBorders>
              <w:bottom w:val="nil"/>
            </w:tcBorders>
            <w:noWrap w:val="0"/>
            <w:vAlign w:val="top"/>
          </w:tcPr>
          <w:p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项目决策存在的问题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200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包括项目立项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、绩</w:t>
            </w:r>
          </w:p>
        </w:tc>
        <w:tc>
          <w:tcPr>
            <w:tcW w:w="156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2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02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效目标设定、预算编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2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…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2" w:type="dxa"/>
            <w:tcBorders>
              <w:top w:val="nil"/>
            </w:tcBorders>
            <w:noWrap w:val="0"/>
            <w:vAlign w:val="top"/>
          </w:tcPr>
          <w:p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制和资金分配等）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002" w:type="dxa"/>
            <w:tcBorders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资金管理存在的问题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00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（包括资金到位情况</w:t>
            </w:r>
          </w:p>
        </w:tc>
        <w:tc>
          <w:tcPr>
            <w:tcW w:w="156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2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002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、预算执行情况和资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2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…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002" w:type="dxa"/>
            <w:tcBorders>
              <w:top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金使用合规性等）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002" w:type="dxa"/>
            <w:tcBorders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项目管理存在的问题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00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（包括项目过程管控</w:t>
            </w:r>
          </w:p>
        </w:tc>
        <w:tc>
          <w:tcPr>
            <w:tcW w:w="156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2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002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、监督问效、制度建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2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…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002" w:type="dxa"/>
            <w:tcBorders>
              <w:top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设及执行情况等）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002" w:type="dxa"/>
            <w:tcBorders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项目产出存在的问题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00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（包括产出数量、产</w:t>
            </w:r>
          </w:p>
        </w:tc>
        <w:tc>
          <w:tcPr>
            <w:tcW w:w="156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2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02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出质量、产出时效、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2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…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002" w:type="dxa"/>
            <w:tcBorders>
              <w:top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产出成本等）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002" w:type="dxa"/>
            <w:tcBorders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项目效益存在的问题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002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（包括经济效益、社</w:t>
            </w:r>
          </w:p>
        </w:tc>
        <w:tc>
          <w:tcPr>
            <w:tcW w:w="156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2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002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会效益、可持续影响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2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…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002" w:type="dxa"/>
            <w:tcBorders>
              <w:top w:val="nil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和满意度等）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002" w:type="dxa"/>
            <w:vMerge w:val="restart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其他问题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0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2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20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2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…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  <w:sectPr>
          <w:footerReference r:id="rId4" w:type="default"/>
          <w:pgSz w:w="16838" w:h="11911" w:orient="landscape"/>
          <w:pgMar w:top="1480" w:right="1582" w:bottom="1417" w:left="1582" w:header="0" w:footer="1383" w:gutter="0"/>
          <w:pgNumType w:fmt="numberInDash"/>
          <w:cols w:space="720" w:num="1"/>
          <w:rtlGutter w:val="0"/>
          <w:docGrid w:linePitch="315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54" w:right="0" w:firstLine="0"/>
        <w:jc w:val="left"/>
        <w:textAlignment w:val="auto"/>
        <w:rPr>
          <w:rFonts w:hint="default" w:ascii="Times New Roman" w:hAnsi="Times New Roman" w:cs="Times New Roman"/>
          <w:sz w:val="31"/>
        </w:rPr>
      </w:pPr>
      <w:r>
        <w:rPr>
          <w:rFonts w:hint="default" w:ascii="Times New Roman" w:hAnsi="Times New Roman" w:eastAsia="黑体" w:cs="Times New Roman"/>
          <w:sz w:val="28"/>
        </w:rPr>
        <w:t>附表3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13" w:lineRule="auto"/>
        <w:ind w:left="0"/>
        <w:jc w:val="center"/>
        <w:textAlignment w:val="auto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w w:val="95"/>
          <w:lang w:val="en-US" w:eastAsia="zh-CN"/>
        </w:rPr>
        <w:t>信用体系建设系统运行维护费</w:t>
      </w:r>
      <w:r>
        <w:rPr>
          <w:rFonts w:hint="default" w:ascii="Times New Roman" w:hAnsi="Times New Roman" w:eastAsia="黑体" w:cs="Times New Roman"/>
        </w:rPr>
        <w:t>项目</w:t>
      </w:r>
      <w:r>
        <w:rPr>
          <w:rFonts w:hint="default" w:ascii="Times New Roman" w:hAnsi="Times New Roman" w:cs="Times New Roman"/>
        </w:rPr>
        <w:t>绩效评价评分情况表</w:t>
      </w:r>
    </w:p>
    <w:tbl>
      <w:tblPr>
        <w:tblStyle w:val="6"/>
        <w:tblW w:w="13972" w:type="dxa"/>
        <w:tblInd w:w="4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173"/>
        <w:gridCol w:w="1199"/>
        <w:gridCol w:w="1132"/>
        <w:gridCol w:w="1199"/>
        <w:gridCol w:w="6498"/>
        <w:gridCol w:w="992"/>
        <w:gridCol w:w="9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6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79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序号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auto"/>
              <w:ind w:left="371" w:right="33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一级指标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auto"/>
              <w:ind w:left="386" w:right="347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二级指标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auto"/>
              <w:ind w:left="351" w:right="315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三级指标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6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5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标准分值</w:t>
            </w:r>
          </w:p>
        </w:tc>
        <w:tc>
          <w:tcPr>
            <w:tcW w:w="649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6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796" w:right="2758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评分情况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6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7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得分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6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9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扣分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完善系统平台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20</w:t>
            </w:r>
          </w:p>
        </w:tc>
        <w:tc>
          <w:tcPr>
            <w:tcW w:w="649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完成国家信用示范市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考核复评任务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20</w:t>
            </w:r>
          </w:p>
        </w:tc>
        <w:tc>
          <w:tcPr>
            <w:tcW w:w="649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经济效益</w:t>
            </w: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服务实体经济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10</w:t>
            </w:r>
          </w:p>
        </w:tc>
        <w:tc>
          <w:tcPr>
            <w:tcW w:w="649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社会效益</w:t>
            </w: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提升城市影响力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15</w:t>
            </w:r>
          </w:p>
        </w:tc>
        <w:tc>
          <w:tcPr>
            <w:tcW w:w="649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提升网站友好度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15</w:t>
            </w:r>
          </w:p>
        </w:tc>
        <w:tc>
          <w:tcPr>
            <w:tcW w:w="649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3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20</w:t>
            </w:r>
          </w:p>
        </w:tc>
        <w:tc>
          <w:tcPr>
            <w:tcW w:w="649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7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49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87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49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49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49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6"/>
              </w:rPr>
            </w:pPr>
          </w:p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914" w:right="1875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合计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49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lang w:val="en-US" w:eastAsia="zh-CN"/>
              </w:rPr>
              <w:t>100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</w:tbl>
    <w:p>
      <w:pPr>
        <w:pageBreakBefore w:val="0"/>
        <w:widowControl w:val="0"/>
        <w:tabs>
          <w:tab w:val="left" w:pos="5847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>
      <w:pPr>
        <w:pStyle w:val="3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sectPr>
      <w:pgSz w:w="16840" w:h="11910" w:orient="landscape"/>
      <w:pgMar w:top="1361" w:right="1582" w:bottom="981" w:left="998" w:header="0" w:footer="816" w:gutter="0"/>
      <w:pgNumType w:fmt="numberInDash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ZTI2NjRmZWE1Mzc4NzA2NzRlM2ZhNmE0MTdjNjYifQ=="/>
  </w:docVars>
  <w:rsids>
    <w:rsidRoot w:val="1B6544FC"/>
    <w:rsid w:val="0697366D"/>
    <w:rsid w:val="0817488F"/>
    <w:rsid w:val="0DA33F9D"/>
    <w:rsid w:val="106C4D14"/>
    <w:rsid w:val="11916802"/>
    <w:rsid w:val="13E427CB"/>
    <w:rsid w:val="19397BA6"/>
    <w:rsid w:val="19E63318"/>
    <w:rsid w:val="1AFA71C6"/>
    <w:rsid w:val="1B6544FC"/>
    <w:rsid w:val="1F1A7E37"/>
    <w:rsid w:val="1FE03FC1"/>
    <w:rsid w:val="22E53CCF"/>
    <w:rsid w:val="233B65CE"/>
    <w:rsid w:val="268705C7"/>
    <w:rsid w:val="27F84A8D"/>
    <w:rsid w:val="28414686"/>
    <w:rsid w:val="2A7E0132"/>
    <w:rsid w:val="2AA73F5B"/>
    <w:rsid w:val="2AC6431A"/>
    <w:rsid w:val="2C150CE1"/>
    <w:rsid w:val="2D314CC9"/>
    <w:rsid w:val="2F661D69"/>
    <w:rsid w:val="30095E7D"/>
    <w:rsid w:val="321109A1"/>
    <w:rsid w:val="338F44F8"/>
    <w:rsid w:val="33F326AA"/>
    <w:rsid w:val="35E6061B"/>
    <w:rsid w:val="380A4A95"/>
    <w:rsid w:val="3B3E5CB2"/>
    <w:rsid w:val="3C3976F6"/>
    <w:rsid w:val="42471491"/>
    <w:rsid w:val="42976F25"/>
    <w:rsid w:val="488717E9"/>
    <w:rsid w:val="48D66174"/>
    <w:rsid w:val="4AEC002A"/>
    <w:rsid w:val="4D0553D3"/>
    <w:rsid w:val="4DF23BA9"/>
    <w:rsid w:val="4EC31C76"/>
    <w:rsid w:val="50CD4603"/>
    <w:rsid w:val="52EA12F3"/>
    <w:rsid w:val="53A05E55"/>
    <w:rsid w:val="55EC5382"/>
    <w:rsid w:val="57EA1DD9"/>
    <w:rsid w:val="587C0C3F"/>
    <w:rsid w:val="5C137474"/>
    <w:rsid w:val="60DD43E3"/>
    <w:rsid w:val="62CC15A8"/>
    <w:rsid w:val="6559709D"/>
    <w:rsid w:val="664A36FF"/>
    <w:rsid w:val="66E75E1D"/>
    <w:rsid w:val="675E59B4"/>
    <w:rsid w:val="701B7D3D"/>
    <w:rsid w:val="71921BCA"/>
    <w:rsid w:val="721879D9"/>
    <w:rsid w:val="72ED6541"/>
    <w:rsid w:val="73883E50"/>
    <w:rsid w:val="777D4FD0"/>
    <w:rsid w:val="79480B4D"/>
    <w:rsid w:val="7CC52470"/>
    <w:rsid w:val="7EF0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ind w:firstLine="1840"/>
    </w:pPr>
    <w:rPr>
      <w:rFonts w:ascii="Times New Roman" w:hAnsi="Times New Roman" w:eastAsia="宋体" w:cs="Times New Roman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2023-09-25T02:39:00Z</dcterms:created>
  <dc:creator>炭烤小肥畅</dc:creator>
  <cp:lastModifiedBy>.</cp:lastModifiedBy>
  <dcterms:modified xsi:type="dcterms:W3CDTF">2023-09-26T07:49:10Z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EAC8F904CE1D41FEB81FCC43FF180B23_13</vt:lpwstr>
  </property>
</Properties>
</file>