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rPr>
          <w:rFonts w:ascii="TimesNewRoman" w:eastAsia="黑体" w:cs="TimesNewRoman" w:hAnsi="TimesNewRoman"/>
          <w:szCs w:val="32"/>
        </w:rPr>
      </w:pPr>
      <w:r>
        <w:rPr>
          <w:rFonts w:ascii="TimesNewRoman" w:eastAsia="黑体" w:cs="TimesNewRoman" w:hAnsi="TimesNewRoman" w:hint="eastAsia"/>
          <w:szCs w:val="32"/>
        </w:rPr>
        <w:t>附件1-1</w:t>
      </w:r>
    </w:p>
    <w:p/>
    <w:p/>
    <w:p/>
    <w:p/>
    <w:p/>
    <w:p/>
    <w:p/>
    <w:p/>
    <w:p>
      <w:pPr>
        <w:spacing w:line="560" w:lineRule="exact"/>
        <w:jc w:val="center"/>
        <w:rPr>
          <w:rFonts w:ascii="方正小标宋简体" w:eastAsia="方正小标宋简体" w:cs="方正小标宋简体" w:hAnsi="TimesNewRoman" w:hint="eastAsia"/>
          <w:sz w:val="44"/>
          <w:szCs w:val="44"/>
        </w:rPr>
      </w:pPr>
      <w:r>
        <w:rPr>
          <w:rFonts w:ascii="方正小标宋简体" w:eastAsia="方正小标宋简体" w:cs="方正小标宋简体" w:hAnsi="TimesNewRoman" w:hint="eastAsia"/>
          <w:sz w:val="44"/>
          <w:szCs w:val="44"/>
        </w:rPr>
        <w:t>淮北市</w:t>
      </w:r>
      <w:r>
        <w:rPr>
          <w:rFonts w:ascii="方正小标宋简体" w:eastAsia="方正小标宋简体" w:cs="方正小标宋简体" w:hAnsi="TimesNewRoman"/>
          <w:sz w:val="44"/>
          <w:szCs w:val="44"/>
        </w:rPr>
        <w:t>价格认证中心</w:t>
      </w:r>
    </w:p>
    <w:p>
      <w:pPr>
        <w:spacing w:line="560" w:lineRule="exact"/>
        <w:jc w:val="center"/>
        <w:rPr>
          <w:rFonts w:ascii="方正小标宋简体" w:eastAsia="方正小标宋简体" w:cs="方正小标宋简体" w:hAnsi="TimesNewRoman" w:hint="eastAsia"/>
          <w:sz w:val="44"/>
          <w:szCs w:val="44"/>
        </w:rPr>
      </w:pPr>
      <w:r>
        <w:rPr>
          <w:rFonts w:ascii="方正小标宋简体" w:eastAsia="方正小标宋简体" w:cs="方正小标宋简体" w:hAnsi="TimesNewRoman" w:hint="eastAsia"/>
          <w:sz w:val="44"/>
          <w:szCs w:val="44"/>
        </w:rPr>
        <w:t>2024年</w:t>
      </w:r>
      <w:r>
        <w:rPr>
          <w:rFonts w:ascii="方正小标宋简体" w:eastAsia="方正小标宋简体" w:cs="方正小标宋简体" w:hAnsi="TimesNewRoman"/>
          <w:sz w:val="44"/>
          <w:szCs w:val="44"/>
        </w:rPr>
        <w:t>单位</w:t>
      </w:r>
      <w:r>
        <w:rPr>
          <w:rFonts w:ascii="方正小标宋简体" w:eastAsia="方正小标宋简体" w:cs="方正小标宋简体" w:hAnsi="TimesNewRoman" w:hint="eastAsia"/>
          <w:sz w:val="44"/>
          <w:szCs w:val="44"/>
        </w:rPr>
        <w:t>预算</w:t>
      </w:r>
    </w:p>
    <w:p/>
    <w:p/>
    <w:p/>
    <w:p/>
    <w:p/>
    <w:p/>
    <w:p/>
    <w:p/>
    <w:p/>
    <w:p/>
    <w:p/>
    <w:p/>
    <w:p/>
    <w:p/>
    <w:p/>
    <w:p/>
    <w:p/>
    <w:p/>
    <w:p/>
    <w:p/>
    <w:p/>
    <w:p/>
    <w:p>
      <w:pPr>
        <w:pStyle w:val="19"/>
        <w:adjustRightInd w:val="0"/>
        <w:snapToGrid w:val="0"/>
        <w:spacing w:line="560" w:lineRule="exact"/>
        <w:jc w:val="center"/>
        <w:rPr>
          <w:rFonts w:ascii="TimesNewRoman" w:eastAsia="黑体" w:cs="TimesNewRoman" w:hAnsi="TimesNewRoman"/>
          <w:bCs/>
          <w:sz w:val="44"/>
          <w:szCs w:val="44"/>
        </w:rPr>
      </w:pPr>
    </w:p>
    <w:p>
      <w:pPr>
        <w:pStyle w:val="19"/>
        <w:adjustRightInd w:val="0"/>
        <w:snapToGrid w:val="0"/>
        <w:spacing w:line="560" w:lineRule="exact"/>
        <w:jc w:val="center"/>
        <w:rPr>
          <w:rFonts w:ascii="TimesNewRoman" w:eastAsia="黑体" w:cs="TimesNewRoman" w:hAnsi="TimesNewRoman"/>
          <w:bCs/>
          <w:sz w:val="44"/>
          <w:szCs w:val="44"/>
        </w:rPr>
      </w:pPr>
      <w:r>
        <w:rPr>
          <w:rFonts w:ascii="TimesNewRoman" w:eastAsia="黑体" w:cs="TimesNewRoman" w:hAnsi="TimesNewRoman" w:hint="eastAsia"/>
          <w:bCs/>
          <w:sz w:val="44"/>
          <w:szCs w:val="44"/>
        </w:rPr>
        <w:t>2024年</w:t>
      </w:r>
      <w:r>
        <w:rPr>
          <w:rFonts w:ascii="TimesNewRoman" w:eastAsia="黑体" w:cs="TimesNewRoman" w:hAnsi="TimesNewRoman"/>
          <w:bCs/>
          <w:sz w:val="44"/>
          <w:szCs w:val="44"/>
        </w:rPr>
        <w:t>2</w:t>
      </w:r>
      <w:r>
        <w:rPr>
          <w:rFonts w:ascii="TimesNewRoman" w:eastAsia="黑体" w:cs="TimesNewRoman" w:hAnsi="TimesNewRoman" w:hint="eastAsia"/>
          <w:bCs/>
          <w:sz w:val="44"/>
          <w:szCs w:val="44"/>
        </w:rPr>
        <w:t>月</w:t>
      </w:r>
    </w:p>
    <w:p/>
    <w:p/>
    <w:p>
      <w:pPr>
        <w:pStyle w:val="19"/>
        <w:adjustRightInd w:val="0"/>
        <w:snapToGrid w:val="0"/>
        <w:spacing w:line="560" w:lineRule="exact"/>
        <w:jc w:val="center"/>
        <w:rPr>
          <w:rFonts w:ascii="TimesNewRoman" w:eastAsia="黑体" w:cs="TimesNewRoman" w:hAnsi="TimesNewRoman"/>
          <w:bCs/>
          <w:sz w:val="44"/>
          <w:szCs w:val="44"/>
        </w:rPr>
      </w:pPr>
    </w:p>
    <w:p>
      <w:pPr>
        <w:pStyle w:val="19"/>
        <w:adjustRightInd w:val="0"/>
        <w:snapToGrid w:val="0"/>
        <w:spacing w:line="560" w:lineRule="exact"/>
        <w:jc w:val="center"/>
        <w:rPr>
          <w:rFonts w:ascii="TimesNewRoman" w:eastAsia="黑体" w:cs="TimesNewRoman" w:hAnsi="TimesNewRoman"/>
          <w:bCs/>
          <w:sz w:val="44"/>
          <w:szCs w:val="44"/>
        </w:rPr>
      </w:pPr>
      <w:r>
        <w:rPr>
          <w:rFonts w:ascii="TimesNewRoman" w:eastAsia="黑体" w:cs="TimesNewRoman" w:hAnsi="TimesNewRoman" w:hint="eastAsia"/>
          <w:bCs/>
          <w:sz w:val="44"/>
          <w:szCs w:val="44"/>
        </w:rPr>
        <w:t>目  录</w:t>
      </w:r>
    </w:p>
    <w:p/>
    <w:p>
      <w:pPr>
        <w:pStyle w:val="19"/>
        <w:adjustRightInd w:val="0"/>
        <w:snapToGrid w:val="0"/>
        <w:spacing w:line="400" w:lineRule="exact"/>
        <w:ind w:firstLineChars="200" w:firstLine="640"/>
        <w:rPr>
          <w:rFonts w:ascii="TimesNewRoman" w:eastAsia="仿宋_GB2312" w:cs="TimesNewRoman" w:hAnsi="TimesNewRoman"/>
          <w:b/>
          <w:sz w:val="32"/>
          <w:szCs w:val="32"/>
        </w:rPr>
      </w:pPr>
      <w:r>
        <w:rPr>
          <w:rFonts w:ascii="TimesNewRoman" w:eastAsia="仿宋_GB2312" w:cs="TimesNewRoman" w:hAnsi="TimesNewRoman" w:hint="eastAsia"/>
          <w:b/>
          <w:sz w:val="32"/>
          <w:szCs w:val="32"/>
        </w:rPr>
        <w:t xml:space="preserve">第一部分 </w:t>
      </w:r>
      <w:r>
        <w:rPr>
          <w:rFonts w:ascii="TimesNewRoman" w:eastAsia="仿宋_GB2312" w:cs="TimesNewRoman" w:hAnsi="TimesNewRoman"/>
          <w:b/>
          <w:sz w:val="32"/>
          <w:szCs w:val="32"/>
        </w:rPr>
        <w:t>单位</w:t>
      </w:r>
      <w:r>
        <w:rPr>
          <w:rFonts w:ascii="TimesNewRoman" w:eastAsia="仿宋_GB2312" w:cs="TimesNewRoman" w:hAnsi="TimesNewRoman" w:hint="eastAsia"/>
          <w:b/>
          <w:sz w:val="32"/>
          <w:szCs w:val="32"/>
        </w:rPr>
        <w:t>概况</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1、主要职责</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2、</w:t>
      </w:r>
      <w:r>
        <w:rPr>
          <w:rFonts w:ascii="TimesNewRoman" w:eastAsia="仿宋_GB2312" w:cs="TimesNewRoman" w:hAnsi="TimesNewRoman"/>
          <w:bCs/>
          <w:sz w:val="32"/>
          <w:szCs w:val="32"/>
        </w:rPr>
        <w:t>单位</w:t>
      </w:r>
      <w:r>
        <w:rPr>
          <w:rFonts w:ascii="TimesNewRoman" w:eastAsia="仿宋_GB2312" w:cs="TimesNewRoman" w:hAnsi="TimesNewRoman" w:hint="eastAsia"/>
          <w:bCs/>
          <w:sz w:val="32"/>
          <w:szCs w:val="32"/>
        </w:rPr>
        <w:t>预算构成</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3、2024年度主要工作任务</w:t>
      </w:r>
    </w:p>
    <w:p>
      <w:pPr>
        <w:pStyle w:val="19"/>
        <w:adjustRightInd w:val="0"/>
        <w:snapToGrid w:val="0"/>
        <w:spacing w:line="400" w:lineRule="exact"/>
        <w:ind w:firstLineChars="200" w:firstLine="640"/>
        <w:rPr>
          <w:rFonts w:ascii="TimesNewRoman" w:eastAsia="仿宋_GB2312" w:cs="TimesNewRoman" w:hAnsi="TimesNewRoman"/>
          <w:b/>
          <w:sz w:val="32"/>
          <w:szCs w:val="32"/>
        </w:rPr>
      </w:pPr>
      <w:r>
        <w:rPr>
          <w:rFonts w:ascii="TimesNewRoman" w:eastAsia="仿宋_GB2312" w:cs="TimesNewRoman" w:hAnsi="TimesNewRoman" w:hint="eastAsia"/>
          <w:b/>
          <w:sz w:val="32"/>
          <w:szCs w:val="32"/>
        </w:rPr>
        <w:t>第二部分 2024年</w:t>
      </w:r>
      <w:r>
        <w:rPr>
          <w:rFonts w:ascii="TimesNewRoman" w:eastAsia="仿宋_GB2312" w:cs="TimesNewRoman" w:hAnsi="TimesNewRoman"/>
          <w:b/>
          <w:sz w:val="32"/>
          <w:szCs w:val="32"/>
        </w:rPr>
        <w:t>单位</w:t>
      </w:r>
      <w:r>
        <w:rPr>
          <w:rFonts w:ascii="TimesNewRoman" w:eastAsia="仿宋_GB2312" w:cs="TimesNewRoman" w:hAnsi="TimesNewRoman" w:hint="eastAsia"/>
          <w:b/>
          <w:sz w:val="32"/>
          <w:szCs w:val="32"/>
        </w:rPr>
        <w:t>预算表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1、</w:t>
      </w:r>
      <w:r>
        <w:rPr>
          <w:rFonts w:ascii="TimesNewRoman" w:eastAsia="仿宋_GB2312" w:cs="TimesNewRoman" w:hAnsi="TimesNewRoman"/>
          <w:bCs/>
          <w:sz w:val="32"/>
          <w:szCs w:val="32"/>
        </w:rPr>
        <w:t>淮北市价格认证中心</w:t>
      </w:r>
      <w:r>
        <w:rPr>
          <w:rFonts w:ascii="TimesNewRoman" w:eastAsia="仿宋_GB2312" w:cs="TimesNewRoman" w:hAnsi="TimesNewRoman" w:hint="eastAsia"/>
          <w:bCs/>
          <w:sz w:val="32"/>
          <w:szCs w:val="32"/>
        </w:rPr>
        <w:t>2024年收支总表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2、淮北市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2024年收入总表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3、淮北市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2024年支出总表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4、淮北市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2024年财政拨款收支总表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5、淮北市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2024年一般公共预算支出表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6、淮北市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2024年一般公共预算基本支出表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7、淮北市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2024年政府性基金预算支出表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8、淮北市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2024年国有资本经营预算支出表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9、淮北市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2024年项目支出表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10、淮北市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2024年政府采购支出表</w:t>
      </w:r>
    </w:p>
    <w:p>
      <w:pPr>
        <w:pStyle w:val="19"/>
        <w:adjustRightInd w:val="0"/>
        <w:snapToGrid w:val="0"/>
        <w:spacing w:line="400" w:lineRule="exact"/>
        <w:ind w:firstLineChars="250" w:firstLine="800"/>
        <w:rPr>
          <w:rFonts w:ascii="TimesNewRoman" w:eastAsia="仿宋_GB2312" w:cs="TimesNewRoman" w:hAnsi="TimesNewRoman" w:hint="eastAsia"/>
          <w:bCs/>
          <w:sz w:val="32"/>
          <w:szCs w:val="32"/>
        </w:rPr>
      </w:pPr>
      <w:r>
        <w:rPr>
          <w:rFonts w:ascii="TimesNewRoman" w:eastAsia="仿宋_GB2312" w:cs="TimesNewRoman" w:hAnsi="TimesNewRoman" w:hint="eastAsia"/>
          <w:bCs/>
          <w:sz w:val="32"/>
          <w:szCs w:val="32"/>
        </w:rPr>
        <w:t>11、淮北市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2024年政府购买服务支出表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12、淮北市</w:t>
      </w:r>
      <w:r>
        <w:rPr>
          <w:rFonts w:ascii="TimesNewRoman" w:eastAsia="仿宋_GB2312" w:cs="TimesNewRoman" w:hAnsi="TimesNewRoman"/>
          <w:bCs/>
          <w:sz w:val="32"/>
          <w:szCs w:val="32"/>
        </w:rPr>
        <w:t>价格认证中心2024年通用资产配置支出表</w:t>
      </w:r>
    </w:p>
    <w:p>
      <w:pPr>
        <w:pStyle w:val="19"/>
        <w:adjustRightInd w:val="0"/>
        <w:snapToGrid w:val="0"/>
        <w:spacing w:line="400" w:lineRule="exact"/>
        <w:ind w:firstLineChars="200" w:firstLine="640"/>
        <w:rPr>
          <w:rFonts w:ascii="TimesNewRoman" w:eastAsia="仿宋_GB2312" w:cs="TimesNewRoman" w:hAnsi="TimesNewRoman"/>
          <w:b/>
          <w:sz w:val="32"/>
          <w:szCs w:val="32"/>
        </w:rPr>
      </w:pPr>
      <w:r>
        <w:rPr>
          <w:rFonts w:ascii="TimesNewRoman" w:eastAsia="仿宋_GB2312" w:cs="TimesNewRoman" w:hAnsi="TimesNewRoman" w:hint="eastAsia"/>
          <w:b/>
          <w:sz w:val="32"/>
          <w:szCs w:val="32"/>
        </w:rPr>
        <w:t>第三部分 2024年</w:t>
      </w:r>
      <w:r>
        <w:rPr>
          <w:rFonts w:ascii="TimesNewRoman" w:eastAsia="仿宋_GB2312" w:cs="TimesNewRoman" w:hAnsi="TimesNewRoman"/>
          <w:b/>
          <w:sz w:val="32"/>
          <w:szCs w:val="32"/>
        </w:rPr>
        <w:t>单位</w:t>
      </w:r>
      <w:r>
        <w:rPr>
          <w:rFonts w:ascii="TimesNewRoman" w:eastAsia="仿宋_GB2312" w:cs="TimesNewRoman" w:hAnsi="TimesNewRoman" w:hint="eastAsia"/>
          <w:b/>
          <w:sz w:val="32"/>
          <w:szCs w:val="32"/>
        </w:rPr>
        <w:t>预算情况说明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1、关于2024年收支总表的说明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2、关于2024年收入总表的说明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3、关于2024年支出总表的说明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4、关于2024年财政拨款收支总表的说明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5、关于2024年一般公共预算支出表的说明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6、关于2024年一般公共预算基本支出表的说明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7、关于2024年政府性基金预算支出表的说明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8、关于2024年国有资本经营预算支出表的说明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9、关于2024年项目支出表的说明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10、关于2024年政府采购支出表的说明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11、关于2024年政府购买服务支出表的说明</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12、其他重要事项情况说明</w:t>
      </w:r>
    </w:p>
    <w:p>
      <w:pPr>
        <w:pStyle w:val="19"/>
        <w:adjustRightInd w:val="0"/>
        <w:snapToGrid w:val="0"/>
        <w:spacing w:line="400" w:lineRule="exact"/>
        <w:ind w:firstLineChars="200" w:firstLine="640"/>
        <w:rPr>
          <w:rFonts w:ascii="TimesNewRoman" w:eastAsia="仿宋_GB2312" w:cs="TimesNewRoman" w:hAnsi="TimesNewRoman"/>
          <w:b/>
          <w:sz w:val="32"/>
          <w:szCs w:val="32"/>
        </w:rPr>
      </w:pPr>
      <w:r>
        <w:rPr>
          <w:rFonts w:ascii="TimesNewRoman" w:eastAsia="仿宋_GB2312" w:cs="TimesNewRoman" w:hAnsi="TimesNewRoman" w:hint="eastAsia"/>
          <w:b/>
          <w:sz w:val="32"/>
          <w:szCs w:val="32"/>
        </w:rPr>
        <w:t>第四部分 名词解释</w:t>
      </w:r>
    </w:p>
    <w:p>
      <w:pPr>
        <w:pStyle w:val="19"/>
        <w:adjustRightInd w:val="0"/>
        <w:snapToGrid w:val="0"/>
        <w:spacing w:line="400" w:lineRule="exact"/>
        <w:ind w:firstLineChars="200" w:firstLine="640"/>
        <w:rPr>
          <w:rFonts w:ascii="TimesNewRoman" w:eastAsia="仿宋_GB2312" w:cs="TimesNewRoman" w:hAnsi="TimesNewRoman"/>
          <w:b/>
          <w:sz w:val="32"/>
          <w:szCs w:val="32"/>
        </w:rPr>
      </w:pPr>
      <w:r>
        <w:rPr>
          <w:rFonts w:ascii="TimesNewRoman" w:eastAsia="仿宋_GB2312" w:cs="TimesNewRoman" w:hAnsi="TimesNewRoman" w:hint="eastAsia"/>
          <w:b/>
          <w:sz w:val="32"/>
          <w:szCs w:val="32"/>
        </w:rPr>
        <w:t>第五部分 其它公开事项</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1、淮北市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w:t>
      </w:r>
      <w:r>
        <w:rPr>
          <w:rFonts w:ascii="TimesNewRoman" w:eastAsia="仿宋_GB2312" w:cs="TimesNewRoman" w:hAnsi="TimesNewRoman"/>
          <w:bCs/>
          <w:sz w:val="32"/>
          <w:szCs w:val="32"/>
        </w:rPr>
        <w:t>单位</w:t>
      </w:r>
      <w:r>
        <w:rPr>
          <w:rFonts w:ascii="TimesNewRoman" w:eastAsia="仿宋_GB2312" w:cs="TimesNewRoman" w:hAnsi="TimesNewRoman" w:hint="eastAsia"/>
          <w:bCs/>
          <w:sz w:val="32"/>
          <w:szCs w:val="32"/>
        </w:rPr>
        <w:t>预算纳入绩效考评项目表</w:t>
      </w:r>
    </w:p>
    <w:p>
      <w:pPr>
        <w:pStyle w:val="19"/>
        <w:adjustRightInd w:val="0"/>
        <w:snapToGrid w:val="0"/>
        <w:spacing w:line="400" w:lineRule="exact"/>
        <w:ind w:firstLineChars="250" w:firstLine="800"/>
        <w:rPr>
          <w:rFonts w:ascii="TimesNewRoman" w:eastAsia="仿宋_GB2312" w:cs="TimesNewRoman" w:hAnsi="TimesNewRoman"/>
          <w:bCs/>
          <w:sz w:val="32"/>
          <w:szCs w:val="32"/>
        </w:rPr>
      </w:pPr>
      <w:r>
        <w:rPr>
          <w:rFonts w:ascii="TimesNewRoman" w:eastAsia="仿宋_GB2312" w:cs="TimesNewRoman" w:hAnsi="TimesNewRoman" w:hint="eastAsia"/>
          <w:bCs/>
          <w:sz w:val="32"/>
          <w:szCs w:val="32"/>
        </w:rPr>
        <w:t>2、淮北市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bCs/>
          <w:sz w:val="32"/>
          <w:szCs w:val="32"/>
        </w:rPr>
        <w:t>2024年</w:t>
      </w:r>
      <w:r>
        <w:rPr>
          <w:rFonts w:ascii="TimesNewRoman" w:eastAsia="仿宋_GB2312" w:cs="TimesNewRoman" w:hAnsi="TimesNewRoman"/>
          <w:bCs/>
          <w:sz w:val="32"/>
          <w:szCs w:val="32"/>
        </w:rPr>
        <w:t>单位</w:t>
      </w:r>
      <w:r>
        <w:rPr>
          <w:rFonts w:ascii="TimesNewRoman" w:eastAsia="仿宋_GB2312" w:cs="TimesNewRoman" w:hAnsi="TimesNewRoman" w:hint="eastAsia"/>
          <w:bCs/>
          <w:sz w:val="32"/>
          <w:szCs w:val="32"/>
        </w:rPr>
        <w:t>预算专项资金管理清单（专栏公开）</w:t>
      </w:r>
    </w:p>
    <w:p>
      <w:pPr>
        <w:pStyle w:val="19"/>
        <w:adjustRightInd w:val="0"/>
        <w:snapToGrid w:val="0"/>
        <w:spacing w:line="400" w:lineRule="exact"/>
        <w:ind w:firstLineChars="250" w:firstLine="800"/>
        <w:rPr>
          <w:rFonts w:ascii="TimesNewRoman" w:eastAsia="仿宋_GB2312" w:cs="TimesNewRoman" w:hAnsi="TimesNewRoman"/>
          <w:bCs/>
          <w:sz w:val="32"/>
          <w:szCs w:val="32"/>
        </w:rPr>
      </w:pPr>
    </w:p>
    <w:p>
      <w:pPr>
        <w:pStyle w:val="19"/>
        <w:adjustRightInd w:val="0"/>
        <w:snapToGrid w:val="0"/>
        <w:spacing w:line="400" w:lineRule="exact"/>
        <w:ind w:firstLineChars="250" w:firstLine="800"/>
        <w:rPr>
          <w:rFonts w:ascii="TimesNewRoman" w:eastAsia="仿宋_GB2312" w:cs="TimesNewRoman" w:hAnsi="TimesNewRoman"/>
          <w:bCs/>
          <w:sz w:val="32"/>
          <w:szCs w:val="32"/>
        </w:rPr>
      </w:pPr>
    </w:p>
    <w:p>
      <w:pPr>
        <w:pStyle w:val="19"/>
        <w:adjustRightInd w:val="0"/>
        <w:snapToGrid w:val="0"/>
        <w:spacing w:line="560" w:lineRule="exact"/>
        <w:jc w:val="center"/>
        <w:rPr>
          <w:rFonts w:ascii="TimesNewRoman" w:eastAsia="黑体" w:cs="TimesNewRoman" w:hAnsi="TimesNewRoman"/>
          <w:bCs/>
          <w:sz w:val="36"/>
          <w:szCs w:val="36"/>
        </w:rPr>
      </w:pPr>
    </w:p>
    <w:p>
      <w:pPr>
        <w:pStyle w:val="19"/>
        <w:adjustRightInd w:val="0"/>
        <w:snapToGrid w:val="0"/>
        <w:spacing w:line="560" w:lineRule="exact"/>
        <w:jc w:val="center"/>
        <w:rPr>
          <w:rFonts w:ascii="TimesNewRoman" w:eastAsia="黑体" w:cs="TimesNewRoman" w:hAnsi="TimesNewRoman"/>
          <w:bCs/>
          <w:sz w:val="36"/>
          <w:szCs w:val="36"/>
        </w:rPr>
      </w:pPr>
    </w:p>
    <w:p>
      <w:pPr>
        <w:pStyle w:val="19"/>
        <w:adjustRightInd w:val="0"/>
        <w:snapToGrid w:val="0"/>
        <w:spacing w:line="560" w:lineRule="exact"/>
        <w:jc w:val="center"/>
        <w:rPr>
          <w:rFonts w:ascii="TimesNewRoman" w:eastAsia="黑体" w:cs="TimesNewRoman" w:hAnsi="TimesNewRoman"/>
          <w:bCs/>
          <w:sz w:val="36"/>
          <w:szCs w:val="36"/>
        </w:rPr>
      </w:pPr>
      <w:r>
        <w:rPr>
          <w:rFonts w:ascii="TimesNewRoman" w:eastAsia="黑体" w:cs="TimesNewRoman" w:hAnsi="TimesNewRoman" w:hint="eastAsia"/>
          <w:bCs/>
          <w:sz w:val="36"/>
          <w:szCs w:val="36"/>
        </w:rPr>
        <w:t xml:space="preserve">第一部分 </w:t>
      </w:r>
      <w:r>
        <w:rPr>
          <w:rFonts w:ascii="TimesNewRoman" w:eastAsia="黑体" w:cs="TimesNewRoman" w:hAnsi="TimesNewRoman"/>
          <w:bCs/>
          <w:sz w:val="36"/>
          <w:szCs w:val="36"/>
        </w:rPr>
        <w:t>单位</w:t>
      </w:r>
      <w:r>
        <w:rPr>
          <w:rFonts w:ascii="TimesNewRoman" w:eastAsia="黑体" w:cs="TimesNewRoman" w:hAnsi="TimesNewRoman" w:hint="eastAsia"/>
          <w:bCs/>
          <w:sz w:val="36"/>
          <w:szCs w:val="36"/>
        </w:rPr>
        <w:t>概况</w:t>
      </w:r>
    </w:p>
    <w:p>
      <w:pPr>
        <w:pStyle w:val="19"/>
        <w:adjustRightInd w:val="0"/>
        <w:snapToGrid w:val="0"/>
        <w:spacing w:line="560" w:lineRule="exact"/>
        <w:jc w:val="center"/>
        <w:rPr>
          <w:rFonts w:ascii="TimesNewRoman" w:eastAsia="黑体" w:cs="TimesNewRoman" w:hAnsi="TimesNewRoman"/>
          <w:bCs/>
          <w:sz w:val="36"/>
          <w:szCs w:val="36"/>
        </w:rPr>
      </w:pPr>
    </w:p>
    <w:p>
      <w:pPr>
        <w:pStyle w:val="19"/>
        <w:adjustRightInd w:val="0"/>
        <w:snapToGrid w:val="0"/>
        <w:spacing w:line="560" w:lineRule="exact"/>
        <w:ind w:firstLineChars="200" w:firstLine="640"/>
        <w:rPr>
          <w:rFonts w:ascii="TimesNewRoman" w:eastAsia="黑体" w:cs="TimesNewRoman" w:hAnsi="TimesNewRoman"/>
          <w:bCs/>
          <w:sz w:val="32"/>
          <w:szCs w:val="32"/>
        </w:rPr>
      </w:pPr>
      <w:r>
        <w:rPr>
          <w:rFonts w:ascii="TimesNewRoman" w:eastAsia="黑体" w:cs="TimesNewRoman" w:hAnsi="TimesNewRoman"/>
          <w:bCs/>
          <w:sz w:val="32"/>
          <w:szCs w:val="32"/>
        </w:rPr>
        <w:t>一、</w:t>
      </w:r>
      <w:r>
        <w:rPr>
          <w:rFonts w:ascii="TimesNewRoman" w:eastAsia="黑体" w:cs="TimesNewRoman" w:hAnsi="TimesNewRoman" w:hint="eastAsia"/>
          <w:bCs/>
          <w:sz w:val="32"/>
          <w:szCs w:val="32"/>
        </w:rPr>
        <w:t>主要职责</w:t>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仿宋_GB2312" w:cs="TimesNewRoman" w:hAnsi="TimesNewRoman" w:hint="eastAsia"/>
          <w:bCs/>
          <w:kern w:val="0"/>
          <w:sz w:val="32"/>
          <w:szCs w:val="32"/>
          <w:lang w:val="en-US" w:eastAsia="zh-CN" w:bidi="ar-SA"/>
        </w:rPr>
      </w:pPr>
      <w:r>
        <w:rPr>
          <w:rFonts w:ascii="TimesNewRoman" w:eastAsia="仿宋_GB2312" w:cs="TimesNewRoman" w:hAnsi="TimesNewRoman" w:hint="eastAsia"/>
          <w:bCs/>
          <w:kern w:val="0"/>
          <w:sz w:val="32"/>
          <w:szCs w:val="32"/>
          <w:lang w:val="en-US" w:eastAsia="zh-CN" w:bidi="ar-SA"/>
        </w:rPr>
        <w:t>（一）对纪检监察案件中涉及的价格不明或价格有争议的财物进行价格认定。</w:t>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仿宋_GB2312" w:cs="TimesNewRoman" w:hAnsi="TimesNewRoman" w:hint="eastAsia"/>
          <w:bCs/>
          <w:kern w:val="0"/>
          <w:sz w:val="32"/>
          <w:szCs w:val="32"/>
          <w:lang w:val="en-US" w:eastAsia="zh-CN" w:bidi="ar-SA"/>
        </w:rPr>
      </w:pPr>
      <w:r>
        <w:rPr>
          <w:rFonts w:ascii="TimesNewRoman" w:eastAsia="仿宋_GB2312" w:cs="TimesNewRoman" w:hAnsi="TimesNewRoman" w:hint="eastAsia"/>
          <w:bCs/>
          <w:kern w:val="0"/>
          <w:sz w:val="32"/>
          <w:szCs w:val="32"/>
          <w:lang w:val="en-US" w:eastAsia="zh-CN" w:bidi="ar-SA"/>
        </w:rPr>
        <w:t>（二）对刑事案件中涉及的价格不明或价格有争议的财物进行价格认定。</w:t>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仿宋_GB2312" w:cs="TimesNewRoman" w:hAnsi="TimesNewRoman" w:hint="eastAsia"/>
          <w:bCs/>
          <w:kern w:val="0"/>
          <w:sz w:val="32"/>
          <w:szCs w:val="32"/>
          <w:lang w:val="en-US" w:eastAsia="zh-CN" w:bidi="ar-SA"/>
        </w:rPr>
      </w:pPr>
      <w:r>
        <w:rPr>
          <w:rFonts w:ascii="TimesNewRoman" w:eastAsia="仿宋_GB2312" w:cs="TimesNewRoman" w:hAnsi="TimesNewRoman" w:hint="eastAsia"/>
          <w:bCs/>
          <w:kern w:val="0"/>
          <w:sz w:val="32"/>
          <w:szCs w:val="32"/>
          <w:lang w:val="en-US" w:eastAsia="zh-CN" w:bidi="ar-SA"/>
        </w:rPr>
        <w:t>（三）对行政诉讼、复议及处罚案件中涉及的价格不明或价格有争议的财物进行价格认定。</w:t>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仿宋_GB2312" w:cs="TimesNewRoman" w:hAnsi="TimesNewRoman" w:hint="eastAsia"/>
          <w:bCs/>
          <w:kern w:val="0"/>
          <w:sz w:val="32"/>
          <w:szCs w:val="32"/>
          <w:lang w:val="en-US" w:eastAsia="zh-CN" w:bidi="ar-SA"/>
        </w:rPr>
      </w:pPr>
      <w:r>
        <w:rPr>
          <w:rFonts w:ascii="TimesNewRoman" w:eastAsia="仿宋_GB2312" w:cs="TimesNewRoman" w:hAnsi="TimesNewRoman" w:hint="eastAsia"/>
          <w:bCs/>
          <w:kern w:val="0"/>
          <w:sz w:val="32"/>
          <w:szCs w:val="32"/>
          <w:lang w:val="en-US" w:eastAsia="zh-CN" w:bidi="ar-SA"/>
        </w:rPr>
        <w:t>（四）对行政征收、征用及执法活动中涉及的价格不明或价格有争议的财物进行价格认定。</w:t>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仿宋_GB2312" w:cs="TimesNewRoman" w:hAnsi="TimesNewRoman" w:hint="eastAsia"/>
          <w:bCs/>
          <w:kern w:val="0"/>
          <w:sz w:val="32"/>
          <w:szCs w:val="32"/>
          <w:lang w:val="en-US" w:eastAsia="zh-CN" w:bidi="ar-SA"/>
        </w:rPr>
      </w:pPr>
      <w:r>
        <w:rPr>
          <w:rFonts w:ascii="TimesNewRoman" w:eastAsia="仿宋_GB2312" w:cs="TimesNewRoman" w:hAnsi="TimesNewRoman" w:hint="eastAsia"/>
          <w:bCs/>
          <w:kern w:val="0"/>
          <w:sz w:val="32"/>
          <w:szCs w:val="32"/>
          <w:lang w:val="en-US" w:eastAsia="zh-CN" w:bidi="ar-SA"/>
        </w:rPr>
        <w:t>（五）对国家赔偿、补偿事项中涉及的价格不明或价格有争议的财物进行价格认定。</w:t>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仿宋_GB2312" w:cs="TimesNewRoman" w:hAnsi="TimesNewRoman" w:hint="eastAsia"/>
          <w:bCs/>
          <w:kern w:val="0"/>
          <w:sz w:val="32"/>
          <w:szCs w:val="32"/>
          <w:lang w:val="en-US" w:eastAsia="zh-CN" w:bidi="ar-SA"/>
        </w:rPr>
      </w:pPr>
      <w:r>
        <w:rPr>
          <w:rFonts w:ascii="TimesNewRoman" w:eastAsia="仿宋_GB2312" w:cs="TimesNewRoman" w:hAnsi="TimesNewRoman" w:hint="eastAsia"/>
          <w:bCs/>
          <w:kern w:val="0"/>
          <w:sz w:val="32"/>
          <w:szCs w:val="32"/>
          <w:lang w:val="en-US" w:eastAsia="zh-CN" w:bidi="ar-SA"/>
        </w:rPr>
        <w:t>（六）对法律法规规定的应当进行价格认定的事项开展价格认定。</w:t>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仿宋_GB2312" w:cs="TimesNewRoman" w:hAnsi="TimesNewRoman" w:hint="eastAsia"/>
          <w:bCs/>
          <w:kern w:val="0"/>
          <w:sz w:val="32"/>
          <w:szCs w:val="32"/>
          <w:lang w:val="en-US" w:eastAsia="zh-CN" w:bidi="ar-SA"/>
        </w:rPr>
      </w:pPr>
      <w:r>
        <w:rPr>
          <w:rFonts w:ascii="TimesNewRoman" w:eastAsia="仿宋_GB2312" w:cs="TimesNewRoman" w:hAnsi="TimesNewRoman" w:hint="eastAsia"/>
          <w:bCs/>
          <w:kern w:val="0"/>
          <w:sz w:val="32"/>
          <w:szCs w:val="32"/>
          <w:lang w:val="en-US" w:eastAsia="zh-CN" w:bidi="ar-SA"/>
        </w:rPr>
        <w:t>（七）办理本市范围内的价格认定复核事项。</w:t>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仿宋_GB2312" w:cs="TimesNewRoman" w:hAnsi="TimesNewRoman" w:hint="eastAsia"/>
          <w:bCs/>
          <w:kern w:val="0"/>
          <w:sz w:val="32"/>
          <w:szCs w:val="32"/>
          <w:lang w:val="en-US" w:eastAsia="zh-CN" w:bidi="ar-SA"/>
        </w:rPr>
      </w:pPr>
      <w:r>
        <w:rPr>
          <w:rFonts w:ascii="TimesNewRoman" w:eastAsia="仿宋_GB2312" w:cs="TimesNewRoman" w:hAnsi="TimesNewRoman" w:hint="eastAsia"/>
          <w:bCs/>
          <w:kern w:val="0"/>
          <w:sz w:val="32"/>
          <w:szCs w:val="32"/>
          <w:lang w:val="en-US" w:eastAsia="zh-CN" w:bidi="ar-SA"/>
        </w:rPr>
        <w:t>（八）对经营者、消费者、行业组织等市场主体在经济活动中发生的价格争议进行调解和处理。</w:t>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仿宋_GB2312" w:cs="TimesNewRoman" w:hAnsi="TimesNewRoman" w:hint="eastAsia"/>
          <w:bCs/>
          <w:kern w:val="0"/>
          <w:sz w:val="32"/>
          <w:szCs w:val="32"/>
          <w:lang w:val="en-US" w:eastAsia="zh-CN" w:bidi="ar-SA"/>
        </w:rPr>
      </w:pPr>
      <w:r>
        <w:rPr>
          <w:rFonts w:ascii="TimesNewRoman" w:eastAsia="仿宋_GB2312" w:cs="TimesNewRoman" w:hAnsi="TimesNewRoman" w:hint="eastAsia"/>
          <w:bCs/>
          <w:kern w:val="0"/>
          <w:sz w:val="32"/>
          <w:szCs w:val="32"/>
          <w:lang w:val="en-US" w:eastAsia="zh-CN" w:bidi="ar-SA"/>
        </w:rPr>
        <w:t>（九）对违规超标的房改房、集资房进行清房价格认定。</w:t>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仿宋_GB2312" w:cs="TimesNewRoman" w:hAnsi="TimesNewRoman" w:hint="eastAsia"/>
          <w:bCs/>
          <w:kern w:val="0"/>
          <w:sz w:val="32"/>
          <w:szCs w:val="32"/>
          <w:lang w:val="en-US" w:eastAsia="zh-CN" w:bidi="ar-SA"/>
        </w:rPr>
      </w:pPr>
      <w:r>
        <w:rPr>
          <w:rFonts w:ascii="TimesNewRoman" w:eastAsia="仿宋_GB2312" w:cs="TimesNewRoman" w:hAnsi="TimesNewRoman" w:hint="eastAsia"/>
          <w:bCs/>
          <w:kern w:val="0"/>
          <w:sz w:val="32"/>
          <w:szCs w:val="32"/>
          <w:lang w:val="en-US" w:eastAsia="zh-CN" w:bidi="ar-SA"/>
        </w:rPr>
        <w:t>（十）对划拨土地房屋交易征收土地收益金进行价格认定。</w:t>
      </w: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黑体" w:cs="TimesNewRoman" w:hAnsi="TimesNewRoman"/>
          <w:bCs/>
          <w:sz w:val="32"/>
          <w:szCs w:val="32"/>
        </w:rPr>
      </w:pPr>
    </w:p>
    <w:p>
      <w:pPr>
        <w:keepNext w:val="0"/>
        <w:keepLines w:val="0"/>
        <w:pageBreakBefore w:val="0"/>
        <w:widowControl w:val="0"/>
        <w:kinsoku/>
        <w:wordWrap/>
        <w:overflowPunct/>
        <w:topLinePunct w:val="0"/>
        <w:autoSpaceDE/>
        <w:autoSpaceDN/>
        <w:bidi w:val="0"/>
        <w:adjustRightInd/>
        <w:snapToGrid/>
        <w:ind w:firstLineChars="200" w:firstLine="640"/>
        <w:textAlignment w:val="auto"/>
        <w:rPr>
          <w:rFonts w:ascii="TimesNewRoman" w:eastAsia="黑体" w:cs="TimesNewRoman" w:hAnsi="TimesNewRoman"/>
          <w:bCs/>
          <w:sz w:val="32"/>
          <w:szCs w:val="32"/>
        </w:rPr>
      </w:pPr>
      <w:r>
        <w:rPr>
          <w:rFonts w:ascii="TimesNewRoman" w:eastAsia="黑体" w:cs="TimesNewRoman" w:hAnsi="TimesNewRoman" w:hint="eastAsia"/>
          <w:bCs/>
          <w:sz w:val="32"/>
          <w:szCs w:val="32"/>
        </w:rPr>
        <w:t>二、</w:t>
      </w:r>
      <w:r>
        <w:rPr>
          <w:rFonts w:ascii="TimesNewRoman" w:eastAsia="黑体" w:cs="TimesNewRoman" w:hAnsi="TimesNewRoman"/>
          <w:bCs/>
          <w:sz w:val="32"/>
          <w:szCs w:val="32"/>
        </w:rPr>
        <w:t>单位</w:t>
      </w:r>
      <w:r>
        <w:rPr>
          <w:rFonts w:ascii="TimesNewRoman" w:eastAsia="黑体" w:cs="TimesNewRoman" w:hAnsi="TimesNewRoman" w:hint="eastAsia"/>
          <w:bCs/>
          <w:sz w:val="32"/>
          <w:szCs w:val="32"/>
        </w:rPr>
        <w:t>预算构成</w:t>
      </w:r>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sz w:val="32"/>
          <w:szCs w:val="32"/>
        </w:rPr>
        <w:t>从预算单位构成看，</w:t>
      </w:r>
      <w:r>
        <w:rPr>
          <w:rFonts w:ascii="TimesNewRoman" w:eastAsia="仿宋_GB2312" w:cs="TimesNewRoman" w:hAnsi="TimesNewRoman" w:hint="eastAsia"/>
          <w:bCs/>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sz w:val="32"/>
          <w:szCs w:val="32"/>
        </w:rPr>
        <w:t>2024年度</w:t>
      </w:r>
      <w:r>
        <w:rPr>
          <w:rFonts w:ascii="TimesNewRoman" w:eastAsia="仿宋_GB2312" w:cs="TimesNewRoman" w:hAnsi="TimesNewRoman" w:hint="eastAsia"/>
          <w:sz w:val="32"/>
          <w:szCs w:val="32"/>
          <w:lang w:val="en-US" w:eastAsia="zh-CN"/>
        </w:rPr>
        <w:t>单位</w:t>
      </w:r>
      <w:r>
        <w:rPr>
          <w:rFonts w:ascii="TimesNewRoman" w:eastAsia="仿宋_GB2312" w:cs="TimesNewRoman" w:hAnsi="TimesNewRoman" w:hint="eastAsia"/>
          <w:sz w:val="32"/>
          <w:szCs w:val="32"/>
        </w:rPr>
        <w:t>预算包括</w:t>
      </w:r>
      <w:r>
        <w:rPr>
          <w:rFonts w:ascii="TimesNewRoman" w:eastAsia="仿宋_GB2312" w:cs="TimesNewRoman" w:hAnsi="TimesNewRoman"/>
          <w:bCs/>
          <w:sz w:val="32"/>
          <w:szCs w:val="32"/>
        </w:rPr>
        <w:t>价格认证中心</w:t>
      </w:r>
      <w:r>
        <w:rPr>
          <w:rFonts w:ascii="TimesNewRoman" w:eastAsia="仿宋_GB2312" w:cs="TimesNewRoman" w:hAnsi="TimesNewRoman" w:hint="eastAsia"/>
          <w:sz w:val="32"/>
          <w:szCs w:val="32"/>
        </w:rPr>
        <w:t>单位预算</w:t>
      </w:r>
      <w:r>
        <w:rPr>
          <w:rFonts w:ascii="TimesNewRoman" w:eastAsia="仿宋_GB2312" w:cs="TimesNewRoman" w:hAnsi="TimesNewRoman" w:hint="eastAsia"/>
          <w:sz w:val="32"/>
          <w:szCs w:val="32"/>
          <w:lang w:eastAsia="zh-CN"/>
        </w:rPr>
        <w:t>，</w:t>
      </w:r>
      <w:r>
        <w:rPr>
          <w:rFonts w:ascii="TimesNewRoman" w:eastAsia="仿宋_GB2312" w:cs="TimesNewRoman" w:hAnsi="TimesNewRoman" w:hint="eastAsia"/>
          <w:sz w:val="32"/>
          <w:szCs w:val="32"/>
        </w:rPr>
        <w:t>具体情况见下表。</w:t>
      </w:r>
    </w:p>
    <w:tbl>
      <w:tblPr>
        <w:jc w:val="center"/>
        <w:tblW w:w="854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854"/>
        <w:gridCol w:w="3416"/>
        <w:gridCol w:w="4270"/>
      </w:tblGrid>
      <w:tr>
        <w:trPr>
          <w:trHeight w:val="579"/>
        </w:trPr>
        <w:tc>
          <w:tcPr>
            <w:tcW w:w="85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pPr>
              <w:adjustRightInd w:val="0"/>
              <w:snapToGrid w:val="0"/>
              <w:spacing w:line="560" w:lineRule="exact"/>
              <w:jc w:val="center"/>
              <w:rPr>
                <w:rFonts w:ascii="TimesNewRoman" w:cs="TimesNewRoman" w:hAnsi="TimesNewRoman"/>
                <w:sz w:val="24"/>
              </w:rPr>
            </w:pPr>
            <w:r>
              <w:rPr>
                <w:rFonts w:ascii="TimesNewRoman" w:cs="TimesNewRoman" w:hAnsi="TimesNewRoman"/>
                <w:sz w:val="24"/>
              </w:rPr>
              <w:t>序号</w:t>
            </w:r>
          </w:p>
        </w:tc>
        <w:tc>
          <w:tcPr>
            <w:tcW w:w="3416"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pPr>
              <w:adjustRightInd w:val="0"/>
              <w:snapToGrid w:val="0"/>
              <w:spacing w:line="560" w:lineRule="exact"/>
              <w:jc w:val="center"/>
              <w:rPr>
                <w:rFonts w:ascii="TimesNewRoman" w:cs="TimesNewRoman" w:hAnsi="TimesNewRoman"/>
                <w:sz w:val="24"/>
              </w:rPr>
            </w:pPr>
            <w:r>
              <w:rPr>
                <w:rFonts w:ascii="TimesNewRoman" w:cs="TimesNewRoman" w:hAnsi="TimesNewRoman"/>
                <w:sz w:val="24"/>
              </w:rPr>
              <w:t>单位名称</w:t>
            </w:r>
          </w:p>
        </w:tc>
        <w:tc>
          <w:tcPr>
            <w:tcW w:w="4270" w:type="dxa"/>
            <w:tcBorders>
              <w:top w:val="single" w:sz="8" w:space="0" w:color="auto"/>
              <w:left w:val="nil"/>
              <w:bottom w:val="single" w:sz="8" w:space="0" w:color="auto"/>
              <w:right w:val="single" w:sz="8" w:space="0" w:color="auto"/>
            </w:tcBorders>
            <w:shd w:val="clear" w:color="auto" w:fill="FFFFFF"/>
            <w:vAlign w:val="center"/>
          </w:tcPr>
          <w:p>
            <w:pPr>
              <w:adjustRightInd w:val="0"/>
              <w:snapToGrid w:val="0"/>
              <w:spacing w:line="560" w:lineRule="exact"/>
              <w:jc w:val="center"/>
              <w:rPr>
                <w:rFonts w:ascii="TimesNewRoman" w:cs="TimesNewRoman" w:hAnsi="TimesNewRoman"/>
                <w:sz w:val="24"/>
              </w:rPr>
            </w:pPr>
            <w:r>
              <w:rPr>
                <w:rFonts w:ascii="TimesNewRoman" w:cs="TimesNewRoman" w:hAnsi="TimesNewRoman"/>
                <w:sz w:val="24"/>
              </w:rPr>
              <w:t>单位性质</w:t>
            </w:r>
          </w:p>
        </w:tc>
      </w:tr>
      <w:tr>
        <w:trPr>
          <w:trHeight w:val="579"/>
        </w:trPr>
        <w:tc>
          <w:tcPr>
            <w:tcW w:w="854"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pPr>
              <w:adjustRightInd w:val="0"/>
              <w:snapToGrid w:val="0"/>
              <w:spacing w:line="560" w:lineRule="exact"/>
              <w:jc w:val="center"/>
              <w:rPr>
                <w:rFonts w:ascii="TimesNewRoman" w:eastAsia="宋体" w:cs="TimesNewRoman" w:hAnsi="TimesNewRoman" w:hint="eastAsia"/>
                <w:sz w:val="24"/>
                <w:lang w:eastAsia="zh-CN"/>
              </w:rPr>
            </w:pPr>
            <w:r>
              <w:rPr>
                <w:rFonts w:ascii="TimesNewRoman" w:cs="TimesNewRoman" w:hAnsi="TimesNewRoman" w:hint="eastAsia"/>
                <w:sz w:val="24"/>
                <w:lang w:val="en-US" w:eastAsia="zh-CN"/>
              </w:rPr>
              <w:t>1</w:t>
            </w:r>
          </w:p>
        </w:tc>
        <w:tc>
          <w:tcPr>
            <w:tcW w:w="3416" w:type="dxa"/>
            <w:tcBorders>
              <w:top w:val="nil"/>
              <w:left w:val="nil"/>
              <w:bottom w:val="single" w:sz="8" w:space="0" w:color="auto"/>
              <w:right w:val="single" w:sz="8" w:space="0" w:color="auto"/>
            </w:tcBorders>
            <w:shd w:val="clear" w:color="auto" w:fill="FFFFFF"/>
            <w:tcMar>
              <w:left w:w="108" w:type="dxa"/>
              <w:right w:w="108" w:type="dxa"/>
            </w:tcMar>
            <w:vAlign w:val="center"/>
          </w:tcPr>
          <w:p>
            <w:pPr>
              <w:adjustRightInd w:val="0"/>
              <w:snapToGrid w:val="0"/>
              <w:spacing w:line="560" w:lineRule="exact"/>
              <w:jc w:val="center"/>
              <w:rPr>
                <w:rFonts w:ascii="TimesNewRoman" w:cs="TimesNewRoman" w:hAnsi="TimesNewRoman"/>
                <w:sz w:val="24"/>
              </w:rPr>
            </w:pPr>
            <w:r>
              <w:rPr>
                <w:rFonts w:ascii="TimesNewRoman" w:cs="TimesNewRoman" w:hAnsi="TimesNewRoman"/>
                <w:sz w:val="24"/>
              </w:rPr>
              <w:t>淮北市价格认证中心</w:t>
            </w:r>
          </w:p>
        </w:tc>
        <w:tc>
          <w:tcPr>
            <w:tcW w:w="4270" w:type="dxa"/>
            <w:tcBorders>
              <w:top w:val="nil"/>
              <w:left w:val="nil"/>
              <w:bottom w:val="single" w:sz="8" w:space="0" w:color="auto"/>
              <w:right w:val="single" w:sz="8" w:space="0" w:color="auto"/>
            </w:tcBorders>
            <w:shd w:val="clear" w:color="auto" w:fill="FFFFFF"/>
            <w:vAlign w:val="center"/>
          </w:tcPr>
          <w:p>
            <w:pPr>
              <w:adjustRightInd w:val="0"/>
              <w:snapToGrid w:val="0"/>
              <w:spacing w:line="560" w:lineRule="exact"/>
              <w:jc w:val="center"/>
              <w:rPr>
                <w:rFonts w:ascii="TimesNewRoman" w:cs="TimesNewRoman" w:hAnsi="TimesNewRoman"/>
                <w:sz w:val="24"/>
                <w:u w:val="single"/>
              </w:rPr>
            </w:pPr>
            <w:r>
              <w:rPr>
                <w:rFonts w:ascii="TimesNewRoman" w:cs="TimesNewRoman" w:hAnsi="TimesNewRoman"/>
                <w:bCs/>
                <w:sz w:val="24"/>
              </w:rPr>
              <w:t>公益一类事业单位</w:t>
            </w:r>
          </w:p>
        </w:tc>
      </w:tr>
    </w:tbl>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三、2024年度主要工作任务</w:t>
      </w:r>
    </w:p>
    <w:p>
      <w:pPr>
        <w:keepNext w:val="0"/>
        <w:keepLines w:val="0"/>
        <w:pageBreakBefore w:val="0"/>
        <w:widowControl/>
        <w:shd w:val="clear" w:color="auto" w:fill="FFFFFF"/>
        <w:kinsoku/>
        <w:wordWrap/>
        <w:overflowPunct/>
        <w:topLinePunct w:val="0"/>
        <w:autoSpaceDE/>
        <w:autoSpaceDN/>
        <w:adjustRightInd/>
        <w:snapToGrid/>
        <w:ind w:left="0" w:firstLineChars="200" w:firstLine="640"/>
        <w:rPr>
          <w:rFonts w:ascii="TimesNewRoman" w:eastAsia="仿宋_GB2312" w:cs="TimesNewRoman" w:hAnsi="TimesNewRoman" w:hint="eastAsia"/>
          <w:bCs/>
          <w:kern w:val="0"/>
          <w:sz w:val="32"/>
          <w:szCs w:val="32"/>
        </w:rPr>
      </w:pPr>
      <w:r>
        <w:rPr>
          <w:rFonts w:ascii="TimesNewRoman" w:eastAsia="仿宋_GB2312" w:cs="TimesNewRoman" w:hAnsi="TimesNewRoman" w:hint="eastAsia"/>
          <w:bCs/>
          <w:kern w:val="0"/>
          <w:sz w:val="32"/>
          <w:szCs w:val="32"/>
        </w:rPr>
        <w:t>一是切实发挥职能作用，继续审慎抓好涉案、涉税、渉纪价格认定工作，做好四个服务</w:t>
      </w:r>
      <w:r>
        <w:rPr>
          <w:rFonts w:ascii="TimesNewRoman" w:eastAsia="仿宋_GB2312" w:cs="TimesNewRoman" w:hAnsi="TimesNewRoman"/>
          <w:bCs/>
          <w:kern w:val="0"/>
          <w:sz w:val="32"/>
          <w:szCs w:val="32"/>
        </w:rPr>
        <w:t>。</w:t>
      </w:r>
    </w:p>
    <w:p>
      <w:pPr>
        <w:keepNext w:val="0"/>
        <w:keepLines w:val="0"/>
        <w:pageBreakBefore w:val="0"/>
        <w:kinsoku/>
        <w:wordWrap/>
        <w:overflowPunct/>
        <w:topLinePunct w:val="0"/>
        <w:autoSpaceDE/>
        <w:autoSpaceDN/>
        <w:adjustRightInd/>
        <w:snapToGrid/>
        <w:ind w:left="0" w:firstLineChars="200" w:firstLine="640"/>
        <w:rPr>
          <w:rFonts w:ascii="TimesNewRoman" w:eastAsia="仿宋_GB2312" w:cs="TimesNewRoman" w:hAnsi="TimesNewRoman" w:hint="eastAsia"/>
          <w:bCs/>
          <w:kern w:val="0"/>
          <w:sz w:val="32"/>
          <w:szCs w:val="32"/>
        </w:rPr>
      </w:pPr>
      <w:r>
        <w:rPr>
          <w:rFonts w:ascii="TimesNewRoman" w:eastAsia="仿宋_GB2312" w:cs="TimesNewRoman" w:hAnsi="TimesNewRoman" w:hint="eastAsia"/>
          <w:bCs/>
          <w:kern w:val="0"/>
          <w:sz w:val="32"/>
          <w:szCs w:val="32"/>
        </w:rPr>
        <w:t>二是</w:t>
      </w:r>
      <w:r>
        <w:rPr>
          <w:rFonts w:ascii="TimesNewRoman" w:eastAsia="仿宋_GB2312" w:cs="TimesNewRoman" w:hAnsi="TimesNewRoman" w:hint="eastAsia"/>
          <w:bCs/>
          <w:kern w:val="0"/>
          <w:sz w:val="32"/>
          <w:szCs w:val="32"/>
          <w:lang w:eastAsia="zh-CN"/>
        </w:rPr>
        <w:t>进一步</w:t>
      </w:r>
      <w:r>
        <w:rPr>
          <w:rFonts w:ascii="TimesNewRoman" w:eastAsia="仿宋_GB2312" w:cs="TimesNewRoman" w:hAnsi="TimesNewRoman" w:hint="eastAsia"/>
          <w:bCs/>
          <w:kern w:val="0"/>
          <w:sz w:val="32"/>
          <w:szCs w:val="32"/>
        </w:rPr>
        <w:t>贯彻落实《安徽省价格争议调解处理办法》</w:t>
      </w:r>
      <w:r>
        <w:rPr>
          <w:rFonts w:ascii="TimesNewRoman" w:eastAsia="仿宋_GB2312" w:cs="TimesNewRoman" w:hAnsi="TimesNewRoman" w:hint="eastAsia"/>
          <w:bCs/>
          <w:kern w:val="0"/>
          <w:sz w:val="32"/>
          <w:szCs w:val="32"/>
          <w:lang w:eastAsia="zh-CN"/>
        </w:rPr>
        <w:t>、</w:t>
      </w:r>
      <w:r>
        <w:rPr>
          <w:rFonts w:ascii="TimesNewRoman" w:eastAsia="仿宋_GB2312" w:cs="TimesNewRoman" w:hAnsi="TimesNewRoman" w:hint="eastAsia"/>
          <w:bCs/>
          <w:kern w:val="0"/>
          <w:sz w:val="32"/>
          <w:szCs w:val="32"/>
        </w:rPr>
        <w:t>《</w:t>
      </w:r>
      <w:r>
        <w:rPr>
          <w:rFonts w:ascii="TimesNewRoman" w:eastAsia="仿宋_GB2312" w:cs="TimesNewRoman" w:hAnsi="TimesNewRoman" w:hint="eastAsia"/>
          <w:bCs/>
          <w:kern w:val="0"/>
          <w:sz w:val="32"/>
          <w:szCs w:val="32"/>
          <w:lang w:eastAsia="zh-CN"/>
        </w:rPr>
        <w:t>关于建立淮北市价格争议纠纷“总对总”在线诉调对接机制的意见</w:t>
      </w:r>
      <w:r>
        <w:rPr>
          <w:rFonts w:ascii="TimesNewRoman" w:eastAsia="仿宋_GB2312" w:cs="TimesNewRoman" w:hAnsi="TimesNewRoman" w:hint="eastAsia"/>
          <w:bCs/>
          <w:kern w:val="0"/>
          <w:sz w:val="32"/>
          <w:szCs w:val="32"/>
        </w:rPr>
        <w:t>》</w:t>
      </w:r>
      <w:r>
        <w:rPr>
          <w:rFonts w:ascii="TimesNewRoman" w:eastAsia="仿宋_GB2312" w:cs="TimesNewRoman" w:hAnsi="TimesNewRoman" w:hint="eastAsia"/>
          <w:bCs/>
          <w:kern w:val="0"/>
          <w:sz w:val="32"/>
          <w:szCs w:val="32"/>
          <w:lang w:eastAsia="zh-CN"/>
        </w:rPr>
        <w:t>等规定</w:t>
      </w:r>
      <w:r>
        <w:rPr>
          <w:rFonts w:ascii="TimesNewRoman" w:eastAsia="仿宋_GB2312" w:cs="TimesNewRoman" w:hAnsi="TimesNewRoman" w:hint="eastAsia"/>
          <w:bCs/>
          <w:kern w:val="0"/>
          <w:sz w:val="32"/>
          <w:szCs w:val="32"/>
        </w:rPr>
        <w:t>，</w:t>
      </w:r>
      <w:r>
        <w:rPr>
          <w:rFonts w:ascii="TimesNewRoman" w:eastAsia="仿宋_GB2312" w:cs="TimesNewRoman" w:hAnsi="TimesNewRoman" w:hint="eastAsia"/>
          <w:bCs/>
          <w:kern w:val="0"/>
          <w:sz w:val="32"/>
          <w:szCs w:val="32"/>
          <w:lang w:eastAsia="zh-CN"/>
        </w:rPr>
        <w:t>积极推进</w:t>
      </w:r>
      <w:r>
        <w:rPr>
          <w:rFonts w:ascii="TimesNewRoman" w:eastAsia="仿宋_GB2312" w:cs="TimesNewRoman" w:hAnsi="TimesNewRoman" w:hint="eastAsia"/>
          <w:bCs/>
          <w:kern w:val="0"/>
          <w:sz w:val="32"/>
          <w:szCs w:val="32"/>
        </w:rPr>
        <w:t>价格争议调解处理工作</w:t>
      </w:r>
      <w:r>
        <w:rPr>
          <w:rFonts w:ascii="TimesNewRoman" w:eastAsia="仿宋_GB2312" w:cs="TimesNewRoman" w:hAnsi="TimesNewRoman"/>
          <w:bCs/>
          <w:kern w:val="0"/>
          <w:sz w:val="32"/>
          <w:szCs w:val="32"/>
        </w:rPr>
        <w:t>。</w:t>
      </w:r>
    </w:p>
    <w:p>
      <w:pPr>
        <w:keepNext w:val="0"/>
        <w:keepLines w:val="0"/>
        <w:pageBreakBefore w:val="0"/>
        <w:kinsoku/>
        <w:wordWrap/>
        <w:overflowPunct/>
        <w:topLinePunct w:val="0"/>
        <w:autoSpaceDE/>
        <w:autoSpaceDN/>
        <w:adjustRightInd/>
        <w:snapToGrid/>
        <w:ind w:left="0" w:firstLineChars="200" w:firstLine="640"/>
        <w:rPr>
          <w:rFonts w:ascii="TimesNewRoman" w:eastAsia="仿宋_GB2312" w:cs="TimesNewRoman" w:hAnsi="TimesNewRoman" w:hint="eastAsia"/>
          <w:bCs/>
          <w:kern w:val="0"/>
          <w:sz w:val="32"/>
          <w:szCs w:val="32"/>
        </w:rPr>
      </w:pPr>
      <w:r>
        <w:rPr>
          <w:rFonts w:ascii="TimesNewRoman" w:eastAsia="仿宋_GB2312" w:cs="TimesNewRoman" w:hAnsi="TimesNewRoman" w:hint="eastAsia"/>
          <w:bCs/>
          <w:kern w:val="0"/>
          <w:sz w:val="32"/>
          <w:szCs w:val="32"/>
        </w:rPr>
        <w:t>三是按照省价格认证中心要求，依法依规、扎实稳妥地推进信息化建设工作，确保信息化平台发挥成效</w:t>
      </w:r>
      <w:r>
        <w:rPr>
          <w:rFonts w:ascii="TimesNewRoman" w:eastAsia="仿宋_GB2312" w:cs="TimesNewRoman" w:hAnsi="TimesNewRoman"/>
          <w:bCs/>
          <w:kern w:val="0"/>
          <w:sz w:val="32"/>
          <w:szCs w:val="32"/>
        </w:rPr>
        <w:t>。</w:t>
      </w:r>
    </w:p>
    <w:p>
      <w:pPr>
        <w:keepNext w:val="0"/>
        <w:keepLines w:val="0"/>
        <w:pageBreakBefore w:val="0"/>
        <w:kinsoku/>
        <w:wordWrap/>
        <w:overflowPunct/>
        <w:topLinePunct w:val="0"/>
        <w:autoSpaceDE/>
        <w:autoSpaceDN/>
        <w:adjustRightInd/>
        <w:snapToGrid/>
        <w:ind w:left="0" w:firstLineChars="200" w:firstLine="640"/>
        <w:rPr>
          <w:rFonts w:ascii="TimesNewRoman" w:eastAsia="仿宋_GB2312" w:cs="TimesNewRoman" w:hAnsi="TimesNewRoman" w:hint="eastAsia"/>
          <w:bCs/>
          <w:kern w:val="0"/>
          <w:sz w:val="32"/>
          <w:szCs w:val="32"/>
        </w:rPr>
      </w:pPr>
      <w:r>
        <w:rPr>
          <w:rFonts w:ascii="TimesNewRoman" w:eastAsia="仿宋_GB2312" w:cs="TimesNewRoman" w:hAnsi="TimesNewRoman" w:hint="eastAsia"/>
          <w:bCs/>
          <w:kern w:val="0"/>
          <w:sz w:val="32"/>
          <w:szCs w:val="32"/>
        </w:rPr>
        <w:t>四是为进一步提高工作效率，防范风险，</w:t>
      </w:r>
      <w:r>
        <w:rPr>
          <w:rFonts w:ascii="TimesNewRoman" w:eastAsia="仿宋_GB2312" w:cs="TimesNewRoman" w:hAnsi="TimesNewRoman" w:hint="eastAsia"/>
          <w:bCs/>
          <w:kern w:val="0"/>
          <w:sz w:val="32"/>
          <w:szCs w:val="32"/>
          <w:lang w:eastAsia="zh-CN"/>
        </w:rPr>
        <w:t>继续完善</w:t>
      </w:r>
      <w:r>
        <w:rPr>
          <w:rFonts w:ascii="TimesNewRoman" w:eastAsia="仿宋_GB2312" w:cs="TimesNewRoman" w:hAnsi="TimesNewRoman" w:hint="eastAsia"/>
          <w:bCs/>
          <w:kern w:val="0"/>
          <w:sz w:val="32"/>
          <w:szCs w:val="32"/>
        </w:rPr>
        <w:t>价格认定价格采集点及专家库建设工作。</w:t>
      </w:r>
    </w:p>
    <w:p>
      <w:pPr>
        <w:pStyle w:val="19"/>
        <w:adjustRightInd w:val="0"/>
        <w:snapToGrid w:val="0"/>
        <w:spacing w:line="560" w:lineRule="exact"/>
        <w:jc w:val="both"/>
        <w:rPr>
          <w:rFonts w:ascii="TimesNewRoman" w:eastAsia="黑体" w:cs="TimesNewRoman" w:hAnsi="TimesNewRoman"/>
          <w:bCs/>
          <w:sz w:val="36"/>
          <w:szCs w:val="36"/>
        </w:rPr>
      </w:pPr>
    </w:p>
    <w:p>
      <w:pPr>
        <w:pStyle w:val="19"/>
        <w:adjustRightInd w:val="0"/>
        <w:snapToGrid w:val="0"/>
        <w:spacing w:line="560" w:lineRule="exact"/>
        <w:jc w:val="center"/>
        <w:rPr>
          <w:rFonts w:ascii="TimesNewRoman" w:eastAsia="黑体" w:cs="TimesNewRoman" w:hAnsi="TimesNewRoman"/>
          <w:bCs/>
          <w:sz w:val="36"/>
          <w:szCs w:val="36"/>
        </w:rPr>
      </w:pPr>
      <w:r>
        <w:rPr>
          <w:rFonts w:ascii="TimesNewRoman" w:eastAsia="黑体" w:cs="TimesNewRoman" w:hAnsi="TimesNewRoman" w:hint="eastAsia"/>
          <w:bCs/>
          <w:sz w:val="36"/>
          <w:szCs w:val="36"/>
        </w:rPr>
        <w:t>第二部分 2024年</w:t>
      </w:r>
      <w:r>
        <w:rPr>
          <w:rFonts w:ascii="TimesNewRoman" w:eastAsia="黑体" w:cs="TimesNewRoman" w:hAnsi="TimesNewRoman"/>
          <w:bCs/>
          <w:sz w:val="36"/>
          <w:szCs w:val="36"/>
        </w:rPr>
        <w:t>单位</w:t>
      </w:r>
      <w:r>
        <w:rPr>
          <w:rFonts w:ascii="TimesNewRoman" w:eastAsia="黑体" w:cs="TimesNewRoman" w:hAnsi="TimesNewRoman" w:hint="eastAsia"/>
          <w:bCs/>
          <w:sz w:val="36"/>
          <w:szCs w:val="36"/>
        </w:rPr>
        <w:t>预算表</w:t>
      </w:r>
    </w:p>
    <w:p>
      <w:pPr>
        <w:pStyle w:val="19"/>
        <w:adjustRightInd w:val="0"/>
        <w:snapToGrid w:val="0"/>
        <w:spacing w:line="560" w:lineRule="exact"/>
        <w:ind w:firstLineChars="196" w:firstLine="627"/>
        <w:jc w:val="center"/>
        <w:rPr>
          <w:rFonts w:ascii="TimesNewRoman" w:eastAsia="仿宋_GB2312" w:cs="TimesNewRoman" w:hAnsi="TimesNewRoman"/>
          <w:bCs/>
          <w:sz w:val="32"/>
          <w:szCs w:val="32"/>
        </w:rPr>
      </w:pPr>
      <w:r>
        <w:rPr>
          <w:rFonts w:ascii="TimesNewRoman" w:eastAsia="仿宋_GB2312" w:cs="TimesNewRoman" w:hAnsi="TimesNewRoman" w:hint="eastAsia"/>
          <w:bCs/>
          <w:sz w:val="32"/>
          <w:szCs w:val="32"/>
        </w:rPr>
        <w:t>见附件1-2</w:t>
      </w:r>
    </w:p>
    <w:p>
      <w:r>
        <w:t xml:space="preserve">                                        </w:t>
      </w:r>
    </w:p>
    <w:p>
      <w:pPr>
        <w:pStyle w:val="19"/>
        <w:adjustRightInd w:val="0"/>
        <w:snapToGrid w:val="0"/>
        <w:spacing w:line="560" w:lineRule="exact"/>
        <w:jc w:val="center"/>
        <w:rPr>
          <w:rFonts w:ascii="TimesNewRoman" w:eastAsia="黑体" w:cs="TimesNewRoman" w:hAnsi="TimesNewRoman"/>
          <w:bCs/>
          <w:sz w:val="36"/>
          <w:szCs w:val="36"/>
        </w:rPr>
      </w:pPr>
      <w:r>
        <w:rPr>
          <w:rFonts w:ascii="TimesNewRoman" w:eastAsia="黑体" w:cs="TimesNewRoman" w:hAnsi="TimesNewRoman" w:hint="eastAsia"/>
          <w:bCs/>
          <w:sz w:val="36"/>
          <w:szCs w:val="36"/>
        </w:rPr>
        <w:t>第三部分 2024年</w:t>
      </w:r>
      <w:r>
        <w:rPr>
          <w:rFonts w:ascii="TimesNewRoman" w:eastAsia="黑体" w:cs="TimesNewRoman" w:hAnsi="TimesNewRoman"/>
          <w:bCs/>
          <w:sz w:val="36"/>
          <w:szCs w:val="36"/>
        </w:rPr>
        <w:t>单位</w:t>
      </w:r>
      <w:r>
        <w:rPr>
          <w:rFonts w:ascii="TimesNewRoman" w:eastAsia="黑体" w:cs="TimesNewRoman" w:hAnsi="TimesNewRoman" w:hint="eastAsia"/>
          <w:bCs/>
          <w:sz w:val="36"/>
          <w:szCs w:val="36"/>
        </w:rPr>
        <w:t>预算情况说明</w:t>
      </w:r>
    </w:p>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一、关于2024年收支总表的说明</w:t>
      </w:r>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sz w:val="32"/>
          <w:szCs w:val="32"/>
        </w:rPr>
        <w:t>按照综合预算的原则，淮北市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sz w:val="32"/>
          <w:szCs w:val="32"/>
        </w:rPr>
        <w:t>所有收入和支出均纳入部门预算管理。淮北市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sz w:val="32"/>
          <w:szCs w:val="32"/>
        </w:rPr>
        <w:t>2024年收支总预算</w:t>
      </w:r>
      <w:r>
        <w:rPr>
          <w:rFonts w:ascii="TimesNewRoman" w:eastAsia="仿宋_GB2312" w:cs="TimesNewRoman" w:hAnsi="TimesNewRoman" w:hint="eastAsia"/>
          <w:sz w:val="32"/>
          <w:szCs w:val="32"/>
          <w:lang w:val="en-US" w:eastAsia="zh-CN"/>
        </w:rPr>
        <w:t>327.40</w:t>
      </w:r>
      <w:r>
        <w:rPr>
          <w:rFonts w:ascii="TimesNewRoman" w:eastAsia="仿宋_GB2312" w:cs="TimesNewRoman" w:hAnsi="TimesNewRoman" w:hint="eastAsia"/>
          <w:sz w:val="32"/>
          <w:szCs w:val="32"/>
        </w:rPr>
        <w:t>万元，收入</w:t>
      </w:r>
      <w:r>
        <w:rPr>
          <w:rFonts w:ascii="TimesNewRoman" w:eastAsia="仿宋_GB2312" w:cs="TimesNewRoman" w:hAnsi="TimesNewRoman"/>
          <w:sz w:val="32"/>
          <w:szCs w:val="32"/>
        </w:rPr>
        <w:t>全部是</w:t>
      </w:r>
      <w:r>
        <w:rPr>
          <w:rFonts w:ascii="TimesNewRoman" w:eastAsia="仿宋_GB2312" w:cs="TimesNewRoman" w:hAnsi="TimesNewRoman" w:hint="eastAsia"/>
          <w:sz w:val="32"/>
          <w:szCs w:val="32"/>
        </w:rPr>
        <w:t>一般公共预算拨款收入</w:t>
      </w:r>
      <w:r>
        <w:rPr>
          <w:rFonts w:ascii="TimesNewRoman" w:eastAsia="仿宋_GB2312" w:cs="TimesNewRoman" w:hAnsi="TimesNewRoman" w:hint="eastAsia"/>
          <w:sz w:val="32"/>
          <w:szCs w:val="32"/>
          <w:lang w:val="en-US" w:eastAsia="zh-CN"/>
        </w:rPr>
        <w:t>327.40</w:t>
      </w:r>
      <w:r>
        <w:rPr>
          <w:rFonts w:ascii="TimesNewRoman" w:eastAsia="仿宋_GB2312" w:cs="TimesNewRoman" w:hAnsi="TimesNewRoman"/>
          <w:sz w:val="32"/>
          <w:szCs w:val="32"/>
        </w:rPr>
        <w:t>万元</w:t>
      </w:r>
      <w:r>
        <w:rPr>
          <w:rFonts w:ascii="TimesNewRoman" w:eastAsia="仿宋_GB2312" w:cs="TimesNewRoman" w:hAnsi="TimesNewRoman" w:hint="eastAsia"/>
          <w:sz w:val="32"/>
          <w:szCs w:val="32"/>
        </w:rPr>
        <w:t>，支出包括：一般公共服务支出、社会保障和就业支出、卫生健康支出、住房保障支出。</w:t>
      </w:r>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二、关于2024年收入总表的说明</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2024年收入预算</w:t>
      </w:r>
      <w:r>
        <w:rPr>
          <w:rFonts w:ascii="TimesNewRoman" w:eastAsia="仿宋_GB2312" w:cs="TimesNewRoman" w:hAnsi="TimesNewRoman" w:hint="eastAsia"/>
          <w:sz w:val="32"/>
          <w:szCs w:val="32"/>
          <w:lang w:val="en-US" w:eastAsia="zh-CN"/>
        </w:rPr>
        <w:t>327.40</w:t>
      </w:r>
      <w:r>
        <w:rPr>
          <w:rFonts w:ascii="TimesNewRoman" w:eastAsia="仿宋_GB2312" w:cs="TimesNewRoman" w:hAnsi="TimesNewRoman" w:hint="eastAsia"/>
          <w:kern w:val="0"/>
          <w:sz w:val="32"/>
          <w:szCs w:val="32"/>
        </w:rPr>
        <w:t>万元，其中，本年收入</w:t>
      </w:r>
      <w:r>
        <w:rPr>
          <w:rFonts w:ascii="TimesNewRoman" w:eastAsia="仿宋_GB2312" w:cs="TimesNewRoman" w:hAnsi="TimesNewRoman" w:hint="eastAsia"/>
          <w:sz w:val="32"/>
          <w:szCs w:val="32"/>
          <w:lang w:val="en-US" w:eastAsia="zh-CN"/>
        </w:rPr>
        <w:t>327.40</w:t>
      </w:r>
      <w:r>
        <w:rPr>
          <w:rFonts w:ascii="TimesNewRoman" w:eastAsia="仿宋_GB2312" w:cs="TimesNewRoman" w:hAnsi="TimesNewRoman" w:hint="eastAsia"/>
          <w:kern w:val="0"/>
          <w:sz w:val="32"/>
          <w:szCs w:val="32"/>
        </w:rPr>
        <w:t>万元。</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b/>
          <w:kern w:val="0"/>
          <w:sz w:val="32"/>
          <w:szCs w:val="32"/>
        </w:rPr>
        <w:t>（一）本年收入</w:t>
      </w:r>
      <w:r>
        <w:rPr>
          <w:rFonts w:ascii="TimesNewRoman" w:eastAsia="仿宋_GB2312" w:cs="TimesNewRoman" w:hAnsi="TimesNewRoman" w:hint="eastAsia"/>
          <w:sz w:val="32"/>
          <w:szCs w:val="32"/>
          <w:lang w:val="en-US" w:eastAsia="zh-CN"/>
        </w:rPr>
        <w:t>327.40</w:t>
      </w:r>
      <w:r>
        <w:rPr>
          <w:rFonts w:ascii="TimesNewRoman" w:eastAsia="仿宋_GB2312" w:cs="TimesNewRoman" w:hAnsi="TimesNewRoman" w:hint="eastAsia"/>
          <w:b/>
          <w:kern w:val="0"/>
          <w:sz w:val="32"/>
          <w:szCs w:val="32"/>
        </w:rPr>
        <w:t>万元，</w:t>
      </w:r>
      <w:r>
        <w:rPr>
          <w:rFonts w:ascii="TimesNewRoman" w:eastAsia="仿宋_GB2312" w:cs="TimesNewRoman" w:hAnsi="TimesNewRoman" w:hint="eastAsia"/>
          <w:kern w:val="0"/>
          <w:sz w:val="32"/>
          <w:szCs w:val="32"/>
        </w:rPr>
        <w:t>主要包括：一般公共预算拨款收入</w:t>
      </w:r>
      <w:r>
        <w:rPr>
          <w:rFonts w:ascii="TimesNewRoman" w:eastAsia="仿宋_GB2312" w:cs="TimesNewRoman" w:hAnsi="TimesNewRoman" w:hint="eastAsia"/>
          <w:sz w:val="32"/>
          <w:szCs w:val="32"/>
          <w:lang w:val="en-US" w:eastAsia="zh-CN"/>
        </w:rPr>
        <w:t>327.40</w:t>
      </w:r>
      <w:r>
        <w:rPr>
          <w:rFonts w:ascii="TimesNewRoman" w:eastAsia="仿宋_GB2312" w:cs="TimesNewRoman" w:hAnsi="TimesNewRoman" w:hint="eastAsia"/>
          <w:kern w:val="0"/>
          <w:sz w:val="32"/>
          <w:szCs w:val="32"/>
        </w:rPr>
        <w:t>万元，占</w:t>
      </w:r>
      <w:r>
        <w:rPr>
          <w:rFonts w:ascii="TimesNewRoman" w:eastAsia="仿宋_GB2312" w:cs="TimesNewRoman" w:hAnsi="TimesNewRoman"/>
          <w:kern w:val="0"/>
          <w:sz w:val="32"/>
          <w:szCs w:val="32"/>
        </w:rPr>
        <w:t>100</w:t>
      </w:r>
      <w:r>
        <w:rPr>
          <w:rFonts w:ascii="TimesNewRoman" w:eastAsia="仿宋_GB2312" w:cs="TimesNewRoman" w:hAnsi="TimesNewRoman" w:hint="eastAsia"/>
          <w:kern w:val="0"/>
          <w:sz w:val="32"/>
          <w:szCs w:val="32"/>
        </w:rPr>
        <w:t>%，比2023年预算增加</w:t>
      </w:r>
      <w:r>
        <w:rPr>
          <w:rFonts w:ascii="TimesNewRoman" w:eastAsia="仿宋_GB2312" w:cs="TimesNewRoman" w:hAnsi="TimesNewRoman" w:hint="eastAsia"/>
          <w:kern w:val="0"/>
          <w:sz w:val="32"/>
          <w:szCs w:val="32"/>
          <w:lang w:val="en-US" w:eastAsia="zh-CN"/>
        </w:rPr>
        <w:t>6.09</w:t>
      </w:r>
      <w:r>
        <w:rPr>
          <w:rFonts w:ascii="TimesNewRoman" w:eastAsia="仿宋_GB2312" w:cs="TimesNewRoman" w:hAnsi="TimesNewRoman" w:hint="eastAsia"/>
          <w:kern w:val="0"/>
          <w:sz w:val="32"/>
          <w:szCs w:val="32"/>
        </w:rPr>
        <w:t>万元，增长</w:t>
      </w:r>
      <w:r>
        <w:rPr>
          <w:rFonts w:ascii="TimesNewRoman" w:eastAsia="仿宋_GB2312" w:cs="TimesNewRoman" w:hAnsi="TimesNewRoman" w:hint="eastAsia"/>
          <w:kern w:val="0"/>
          <w:sz w:val="32"/>
          <w:szCs w:val="32"/>
          <w:lang w:val="en-US" w:eastAsia="zh-CN"/>
        </w:rPr>
        <w:t>1.90</w:t>
      </w:r>
      <w:r>
        <w:rPr>
          <w:rFonts w:ascii="TimesNewRoman" w:eastAsia="仿宋_GB2312" w:cs="TimesNewRoman" w:hAnsi="TimesNewRoman" w:hint="eastAsia"/>
          <w:kern w:val="0"/>
          <w:sz w:val="32"/>
          <w:szCs w:val="32"/>
        </w:rPr>
        <w:t>%，原因主要是</w:t>
      </w:r>
      <w:r>
        <w:rPr>
          <w:rFonts w:ascii="TimesNewRoman" w:eastAsia="仿宋_GB2312" w:cs="TimesNewRoman" w:hAnsi="TimesNewRoman"/>
          <w:kern w:val="0"/>
          <w:sz w:val="32"/>
          <w:szCs w:val="32"/>
        </w:rPr>
        <w:t>人员经费增加</w:t>
      </w:r>
      <w:r>
        <w:rPr>
          <w:rFonts w:ascii="TimesNewRoman" w:eastAsia="仿宋_GB2312" w:cs="TimesNewRoman" w:hAnsi="TimesNewRoman" w:hint="eastAsia"/>
          <w:kern w:val="0"/>
          <w:sz w:val="32"/>
          <w:szCs w:val="32"/>
        </w:rPr>
        <w:t>；政府性基金预算拨款收入</w:t>
      </w:r>
      <w:r>
        <w:rPr>
          <w:rFonts w:ascii="TimesNewRoman" w:eastAsia="仿宋_GB2312" w:cs="TimesNewRoman" w:hAnsi="TimesNewRoman"/>
          <w:kern w:val="0"/>
          <w:sz w:val="32"/>
          <w:szCs w:val="32"/>
        </w:rPr>
        <w:t>0</w:t>
      </w:r>
      <w:r>
        <w:rPr>
          <w:rFonts w:ascii="TimesNewRoman" w:eastAsia="仿宋_GB2312" w:cs="TimesNewRoman" w:hAnsi="TimesNewRoman" w:hint="eastAsia"/>
          <w:kern w:val="0"/>
          <w:sz w:val="32"/>
          <w:szCs w:val="32"/>
        </w:rPr>
        <w:t>万元，占</w:t>
      </w:r>
      <w:r>
        <w:rPr>
          <w:rFonts w:ascii="TimesNewRoman" w:eastAsia="仿宋_GB2312" w:cs="TimesNewRoman" w:hAnsi="TimesNewRoman"/>
          <w:kern w:val="0"/>
          <w:sz w:val="32"/>
          <w:szCs w:val="32"/>
        </w:rPr>
        <w:t>0</w:t>
      </w:r>
      <w:r>
        <w:rPr>
          <w:rFonts w:ascii="TimesNewRoman" w:eastAsia="仿宋_GB2312" w:cs="TimesNewRoman" w:hAnsi="TimesNewRoman" w:hint="eastAsia"/>
          <w:kern w:val="0"/>
          <w:sz w:val="32"/>
          <w:szCs w:val="32"/>
        </w:rPr>
        <w:t>%，</w:t>
      </w:r>
      <w:r>
        <w:rPr>
          <w:rFonts w:ascii="TimesNewRoman" w:eastAsia="仿宋_GB2312" w:cs="TimesNewRoman" w:hAnsi="TimesNewRoman"/>
          <w:kern w:val="0"/>
          <w:sz w:val="32"/>
          <w:szCs w:val="32"/>
        </w:rPr>
        <w:t>与</w:t>
      </w:r>
      <w:r>
        <w:rPr>
          <w:rFonts w:ascii="TimesNewRoman" w:eastAsia="仿宋_GB2312" w:cs="TimesNewRoman" w:hAnsi="TimesNewRoman" w:hint="eastAsia"/>
          <w:kern w:val="0"/>
          <w:sz w:val="32"/>
          <w:szCs w:val="32"/>
        </w:rPr>
        <w:t>2023年预算</w:t>
      </w:r>
      <w:r>
        <w:rPr>
          <w:rFonts w:ascii="TimesNewRoman" w:eastAsia="仿宋_GB2312" w:cs="TimesNewRoman" w:hAnsi="TimesNewRoman"/>
          <w:kern w:val="0"/>
          <w:sz w:val="32"/>
          <w:szCs w:val="32"/>
        </w:rPr>
        <w:t>相较无变化</w:t>
      </w:r>
      <w:r>
        <w:rPr>
          <w:rFonts w:ascii="TimesNewRoman" w:eastAsia="仿宋_GB2312" w:cs="TimesNewRoman" w:hAnsi="TimesNewRoman" w:hint="eastAsia"/>
          <w:kern w:val="0"/>
          <w:sz w:val="32"/>
          <w:szCs w:val="32"/>
        </w:rPr>
        <w:t>；财政专户管理资金收入</w:t>
      </w:r>
      <w:r>
        <w:rPr>
          <w:rFonts w:ascii="TimesNewRoman" w:eastAsia="仿宋_GB2312" w:cs="TimesNewRoman" w:hAnsi="TimesNewRoman"/>
          <w:kern w:val="0"/>
          <w:sz w:val="32"/>
          <w:szCs w:val="32"/>
        </w:rPr>
        <w:t>0</w:t>
      </w:r>
      <w:r>
        <w:rPr>
          <w:rFonts w:ascii="TimesNewRoman" w:eastAsia="仿宋_GB2312" w:cs="TimesNewRoman" w:hAnsi="TimesNewRoman" w:hint="eastAsia"/>
          <w:kern w:val="0"/>
          <w:sz w:val="32"/>
          <w:szCs w:val="32"/>
        </w:rPr>
        <w:t>万元，占</w:t>
      </w:r>
      <w:r>
        <w:rPr>
          <w:rFonts w:ascii="TimesNewRoman" w:eastAsia="仿宋_GB2312" w:cs="TimesNewRoman" w:hAnsi="TimesNewRoman"/>
          <w:kern w:val="0"/>
          <w:sz w:val="32"/>
          <w:szCs w:val="32"/>
        </w:rPr>
        <w:t>0</w:t>
      </w:r>
      <w:r>
        <w:rPr>
          <w:rFonts w:ascii="TimesNewRoman" w:eastAsia="仿宋_GB2312" w:cs="TimesNewRoman" w:hAnsi="TimesNewRoman" w:hint="eastAsia"/>
          <w:kern w:val="0"/>
          <w:sz w:val="32"/>
          <w:szCs w:val="32"/>
        </w:rPr>
        <w:t>%，</w:t>
      </w:r>
      <w:r>
        <w:rPr>
          <w:rFonts w:ascii="TimesNewRoman" w:eastAsia="仿宋_GB2312" w:cs="TimesNewRoman" w:hAnsi="TimesNewRoman"/>
          <w:kern w:val="0"/>
          <w:sz w:val="32"/>
          <w:szCs w:val="32"/>
        </w:rPr>
        <w:t>与</w:t>
      </w:r>
      <w:r>
        <w:rPr>
          <w:rFonts w:ascii="TimesNewRoman" w:eastAsia="仿宋_GB2312" w:cs="TimesNewRoman" w:hAnsi="TimesNewRoman" w:hint="eastAsia"/>
          <w:kern w:val="0"/>
          <w:sz w:val="32"/>
          <w:szCs w:val="32"/>
        </w:rPr>
        <w:t>2023年预算</w:t>
      </w:r>
      <w:r>
        <w:rPr>
          <w:rFonts w:ascii="TimesNewRoman" w:eastAsia="仿宋_GB2312" w:cs="TimesNewRoman" w:hAnsi="TimesNewRoman"/>
          <w:kern w:val="0"/>
          <w:sz w:val="32"/>
          <w:szCs w:val="32"/>
        </w:rPr>
        <w:t>相较无变化</w:t>
      </w:r>
      <w:r>
        <w:rPr>
          <w:rFonts w:ascii="TimesNewRoman" w:eastAsia="仿宋_GB2312" w:cs="TimesNewRoman" w:hAnsi="TimesNewRoman" w:hint="eastAsia"/>
          <w:kern w:val="0"/>
          <w:sz w:val="32"/>
          <w:szCs w:val="32"/>
        </w:rPr>
        <w:t>。</w:t>
      </w:r>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三、关于2024年支出总表的说明</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2024年支出预算</w:t>
      </w:r>
      <w:r>
        <w:rPr>
          <w:rFonts w:ascii="TimesNewRoman" w:eastAsia="仿宋_GB2312" w:cs="TimesNewRoman" w:hAnsi="TimesNewRoman" w:hint="eastAsia"/>
          <w:sz w:val="32"/>
          <w:szCs w:val="32"/>
          <w:lang w:val="en-US" w:eastAsia="zh-CN"/>
        </w:rPr>
        <w:t>327.40</w:t>
      </w:r>
      <w:r>
        <w:rPr>
          <w:rFonts w:ascii="TimesNewRoman" w:eastAsia="仿宋_GB2312" w:cs="TimesNewRoman" w:hAnsi="TimesNewRoman" w:hint="eastAsia"/>
          <w:kern w:val="0"/>
          <w:sz w:val="32"/>
          <w:szCs w:val="32"/>
        </w:rPr>
        <w:t>万元，比2023年预算增加</w:t>
      </w:r>
      <w:r>
        <w:rPr>
          <w:rFonts w:ascii="TimesNewRoman" w:eastAsia="仿宋_GB2312" w:cs="TimesNewRoman" w:hAnsi="TimesNewRoman" w:hint="eastAsia"/>
          <w:kern w:val="0"/>
          <w:sz w:val="32"/>
          <w:szCs w:val="32"/>
          <w:lang w:val="en-US" w:eastAsia="zh-CN"/>
        </w:rPr>
        <w:t>6.09</w:t>
      </w:r>
      <w:r>
        <w:rPr>
          <w:rFonts w:ascii="TimesNewRoman" w:eastAsia="仿宋_GB2312" w:cs="TimesNewRoman" w:hAnsi="TimesNewRoman" w:hint="eastAsia"/>
          <w:kern w:val="0"/>
          <w:sz w:val="32"/>
          <w:szCs w:val="32"/>
        </w:rPr>
        <w:t>万元，增长</w:t>
      </w:r>
      <w:r>
        <w:rPr>
          <w:rFonts w:ascii="TimesNewRoman" w:eastAsia="仿宋_GB2312" w:cs="TimesNewRoman" w:hAnsi="TimesNewRoman" w:hint="eastAsia"/>
          <w:kern w:val="0"/>
          <w:sz w:val="32"/>
          <w:szCs w:val="32"/>
          <w:lang w:val="en-US" w:eastAsia="zh-CN"/>
        </w:rPr>
        <w:t>1.90%</w:t>
      </w:r>
      <w:r>
        <w:rPr>
          <w:rFonts w:ascii="TimesNewRoman" w:eastAsia="仿宋_GB2312" w:cs="TimesNewRoman" w:hAnsi="TimesNewRoman" w:hint="eastAsia"/>
          <w:kern w:val="0"/>
          <w:sz w:val="32"/>
          <w:szCs w:val="32"/>
        </w:rPr>
        <w:t>，原因主要是</w:t>
      </w:r>
      <w:r>
        <w:rPr>
          <w:rFonts w:ascii="TimesNewRoman" w:eastAsia="仿宋_GB2312" w:cs="TimesNewRoman" w:hAnsi="TimesNewRoman"/>
          <w:kern w:val="0"/>
          <w:sz w:val="32"/>
          <w:szCs w:val="32"/>
        </w:rPr>
        <w:t>人员经费增加</w:t>
      </w:r>
      <w:r>
        <w:rPr>
          <w:rFonts w:ascii="TimesNewRoman" w:eastAsia="仿宋_GB2312" w:cs="TimesNewRoman" w:hAnsi="TimesNewRoman" w:hint="eastAsia"/>
          <w:kern w:val="0"/>
          <w:sz w:val="32"/>
          <w:szCs w:val="32"/>
        </w:rPr>
        <w:t>。其中，基本支出</w:t>
      </w:r>
      <w:r>
        <w:rPr>
          <w:rFonts w:ascii="TimesNewRoman" w:eastAsia="仿宋_GB2312" w:cs="TimesNewRoman" w:hAnsi="TimesNewRoman" w:hint="eastAsia"/>
          <w:kern w:val="0"/>
          <w:sz w:val="32"/>
          <w:szCs w:val="32"/>
          <w:lang w:val="en-US" w:eastAsia="zh-CN"/>
        </w:rPr>
        <w:t>295.80</w:t>
      </w:r>
      <w:r>
        <w:rPr>
          <w:rFonts w:ascii="TimesNewRoman" w:eastAsia="仿宋_GB2312" w:cs="TimesNewRoman" w:hAnsi="TimesNewRoman" w:hint="eastAsia"/>
          <w:kern w:val="0"/>
          <w:sz w:val="32"/>
          <w:szCs w:val="32"/>
        </w:rPr>
        <w:t>万元，占</w:t>
      </w:r>
      <w:r>
        <w:rPr>
          <w:rFonts w:ascii="TimesNewRoman" w:eastAsia="仿宋_GB2312" w:cs="TimesNewRoman" w:hAnsi="TimesNewRoman" w:hint="eastAsia"/>
          <w:kern w:val="0"/>
          <w:sz w:val="32"/>
          <w:szCs w:val="32"/>
          <w:lang w:val="en-US" w:eastAsia="zh-CN"/>
        </w:rPr>
        <w:t>90.35</w:t>
      </w:r>
      <w:r>
        <w:rPr>
          <w:rFonts w:ascii="TimesNewRoman" w:eastAsia="仿宋_GB2312" w:cs="TimesNewRoman" w:hAnsi="TimesNewRoman" w:hint="eastAsia"/>
          <w:kern w:val="0"/>
          <w:sz w:val="32"/>
          <w:szCs w:val="32"/>
        </w:rPr>
        <w:t>%，主要用于</w:t>
      </w:r>
      <w:r>
        <w:rPr>
          <w:rFonts w:ascii="仿宋_GB2312" w:eastAsia="仿宋_GB2312" w:cs="仿宋_GB2312" w:hAnsi="仿宋_GB2312" w:hint="eastAsia"/>
          <w:b w:val="0"/>
          <w:bCs w:val="0"/>
          <w:kern w:val="0"/>
          <w:sz w:val="32"/>
          <w:szCs w:val="32"/>
        </w:rPr>
        <w:t>保</w:t>
      </w:r>
      <w:r>
        <w:rPr>
          <w:rFonts w:ascii="仿宋_GB2312" w:eastAsia="仿宋_GB2312" w:cs="仿宋_GB2312" w:hAnsi="仿宋_GB2312" w:hint="eastAsia"/>
          <w:kern w:val="0"/>
          <w:sz w:val="32"/>
          <w:szCs w:val="32"/>
        </w:rPr>
        <w:t>障机构日常运转、完成日常工作任务</w:t>
      </w:r>
      <w:r>
        <w:rPr>
          <w:rFonts w:ascii="仿宋_GB2312" w:eastAsia="仿宋_GB2312" w:cs="仿宋_GB2312" w:hAnsi="仿宋_GB2312" w:hint="eastAsia"/>
          <w:kern w:val="0"/>
          <w:sz w:val="32"/>
          <w:szCs w:val="32"/>
          <w:lang w:eastAsia="zh-CN"/>
        </w:rPr>
        <w:t>等</w:t>
      </w:r>
      <w:r>
        <w:rPr>
          <w:rFonts w:ascii="TimesNewRoman" w:eastAsia="仿宋_GB2312" w:cs="TimesNewRoman" w:hAnsi="TimesNewRoman" w:hint="eastAsia"/>
          <w:kern w:val="0"/>
          <w:sz w:val="32"/>
          <w:szCs w:val="32"/>
        </w:rPr>
        <w:t>；项目支出</w:t>
      </w:r>
      <w:r>
        <w:rPr>
          <w:rFonts w:ascii="TimesNewRoman" w:eastAsia="仿宋_GB2312" w:cs="TimesNewRoman" w:hAnsi="TimesNewRoman" w:hint="eastAsia"/>
          <w:kern w:val="0"/>
          <w:sz w:val="32"/>
          <w:szCs w:val="32"/>
          <w:lang w:val="en-US" w:eastAsia="zh-CN"/>
        </w:rPr>
        <w:t>31.6</w:t>
      </w:r>
      <w:r>
        <w:rPr>
          <w:rFonts w:ascii="TimesNewRoman" w:eastAsia="仿宋_GB2312" w:cs="TimesNewRoman" w:hAnsi="TimesNewRoman" w:hint="eastAsia"/>
          <w:kern w:val="0"/>
          <w:sz w:val="32"/>
          <w:szCs w:val="32"/>
        </w:rPr>
        <w:t>万元，占</w:t>
      </w:r>
      <w:r>
        <w:rPr>
          <w:rFonts w:ascii="TimesNewRoman" w:eastAsia="仿宋_GB2312" w:cs="TimesNewRoman" w:hAnsi="TimesNewRoman" w:hint="eastAsia"/>
          <w:kern w:val="0"/>
          <w:sz w:val="32"/>
          <w:szCs w:val="32"/>
          <w:lang w:val="en-US" w:eastAsia="zh-CN"/>
        </w:rPr>
        <w:t>9.65</w:t>
      </w:r>
      <w:r>
        <w:rPr>
          <w:rFonts w:ascii="TimesNewRoman" w:eastAsia="仿宋_GB2312" w:cs="TimesNewRoman" w:hAnsi="TimesNewRoman" w:hint="eastAsia"/>
          <w:kern w:val="0"/>
          <w:sz w:val="32"/>
          <w:szCs w:val="32"/>
        </w:rPr>
        <w:t>%，主要用于</w:t>
      </w:r>
      <w:r>
        <w:rPr>
          <w:rFonts w:ascii="仿宋_GB2312" w:eastAsia="仿宋_GB2312" w:hAnsi="仿宋" w:hint="eastAsia"/>
          <w:sz w:val="32"/>
          <w:szCs w:val="32"/>
          <w:lang w:eastAsia="zh-CN"/>
        </w:rPr>
        <w:t>价格认定工作</w:t>
      </w:r>
      <w:r>
        <w:rPr>
          <w:rFonts w:ascii="TimesNewRoman" w:eastAsia="仿宋_GB2312" w:cs="TimesNewRoman" w:hAnsi="TimesNewRoman"/>
          <w:kern w:val="0"/>
          <w:sz w:val="32"/>
          <w:szCs w:val="32"/>
        </w:rPr>
        <w:t>等</w:t>
      </w:r>
      <w:r>
        <w:rPr>
          <w:rFonts w:ascii="TimesNewRoman" w:eastAsia="仿宋_GB2312" w:cs="TimesNewRoman" w:hAnsi="TimesNewRoman" w:hint="eastAsia"/>
          <w:kern w:val="0"/>
          <w:sz w:val="32"/>
          <w:szCs w:val="32"/>
        </w:rPr>
        <w:t>。</w:t>
      </w:r>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四、关于2024年财政拨款收支总表的说明</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2024年财政拨款收支预算</w:t>
      </w:r>
      <w:r>
        <w:rPr>
          <w:rFonts w:ascii="TimesNewRoman" w:eastAsia="仿宋_GB2312" w:cs="TimesNewRoman" w:hAnsi="TimesNewRoman" w:hint="eastAsia"/>
          <w:sz w:val="32"/>
          <w:szCs w:val="32"/>
          <w:lang w:val="en-US" w:eastAsia="zh-CN"/>
        </w:rPr>
        <w:t>327.40</w:t>
      </w:r>
      <w:r>
        <w:rPr>
          <w:rFonts w:ascii="TimesNewRoman" w:eastAsia="仿宋_GB2312" w:cs="TimesNewRoman" w:hAnsi="TimesNewRoman" w:hint="eastAsia"/>
          <w:kern w:val="0"/>
          <w:sz w:val="32"/>
          <w:szCs w:val="32"/>
        </w:rPr>
        <w:t>万元。收入按资金来源分为：一般公共预算拨款</w:t>
      </w:r>
      <w:r>
        <w:rPr>
          <w:rFonts w:ascii="TimesNewRoman" w:eastAsia="仿宋_GB2312" w:cs="TimesNewRoman" w:hAnsi="TimesNewRoman" w:hint="eastAsia"/>
          <w:sz w:val="32"/>
          <w:szCs w:val="32"/>
          <w:lang w:val="en-US" w:eastAsia="zh-CN"/>
        </w:rPr>
        <w:t>327.40</w:t>
      </w:r>
      <w:r>
        <w:rPr>
          <w:rFonts w:ascii="TimesNewRoman" w:eastAsia="仿宋_GB2312" w:cs="TimesNewRoman" w:hAnsi="TimesNewRoman" w:hint="eastAsia"/>
          <w:kern w:val="0"/>
          <w:sz w:val="32"/>
          <w:szCs w:val="32"/>
        </w:rPr>
        <w:t>万元、政府性基金预算拨款</w:t>
      </w:r>
      <w:r>
        <w:rPr>
          <w:rFonts w:ascii="TimesNewRoman" w:eastAsia="仿宋_GB2312" w:cs="TimesNewRoman" w:hAnsi="TimesNewRoman"/>
          <w:kern w:val="0"/>
          <w:sz w:val="32"/>
          <w:szCs w:val="32"/>
        </w:rPr>
        <w:t>0</w:t>
      </w:r>
      <w:r>
        <w:rPr>
          <w:rFonts w:ascii="TimesNewRoman" w:eastAsia="仿宋_GB2312" w:cs="TimesNewRoman" w:hAnsi="TimesNewRoman" w:hint="eastAsia"/>
          <w:kern w:val="0"/>
          <w:sz w:val="32"/>
          <w:szCs w:val="32"/>
        </w:rPr>
        <w:t>万元；按资金年度分为：本年财政拨款收入</w:t>
      </w:r>
      <w:r>
        <w:rPr>
          <w:rFonts w:ascii="TimesNewRoman" w:eastAsia="仿宋_GB2312" w:cs="TimesNewRoman" w:hAnsi="TimesNewRoman" w:hint="eastAsia"/>
          <w:sz w:val="32"/>
          <w:szCs w:val="32"/>
          <w:lang w:val="en-US" w:eastAsia="zh-CN"/>
        </w:rPr>
        <w:t>327.40</w:t>
      </w:r>
      <w:r>
        <w:rPr>
          <w:rFonts w:ascii="TimesNewRoman" w:eastAsia="仿宋_GB2312" w:cs="TimesNewRoman" w:hAnsi="TimesNewRoman" w:hint="eastAsia"/>
          <w:kern w:val="0"/>
          <w:sz w:val="32"/>
          <w:szCs w:val="32"/>
        </w:rPr>
        <w:t>万元。支出按功能分类分为：一般公共服务支出</w:t>
      </w:r>
      <w:r>
        <w:rPr>
          <w:rFonts w:ascii="TimesNewRoman" w:eastAsia="仿宋_GB2312" w:cs="TimesNewRoman" w:hAnsi="TimesNewRoman" w:hint="eastAsia"/>
          <w:kern w:val="0"/>
          <w:sz w:val="32"/>
          <w:szCs w:val="32"/>
          <w:lang w:val="en-US" w:eastAsia="zh-CN"/>
        </w:rPr>
        <w:t>218.67</w:t>
      </w:r>
      <w:r>
        <w:rPr>
          <w:rFonts w:ascii="TimesNewRoman" w:eastAsia="仿宋_GB2312" w:cs="TimesNewRoman" w:hAnsi="TimesNewRoman" w:hint="eastAsia"/>
          <w:kern w:val="0"/>
          <w:sz w:val="32"/>
          <w:szCs w:val="32"/>
        </w:rPr>
        <w:t>万元，占</w:t>
      </w:r>
      <w:r>
        <w:rPr>
          <w:rFonts w:ascii="TimesNewRoman" w:eastAsia="仿宋_GB2312" w:cs="TimesNewRoman" w:hAnsi="TimesNewRoman" w:hint="eastAsia"/>
          <w:kern w:val="0"/>
          <w:sz w:val="32"/>
          <w:szCs w:val="32"/>
          <w:lang w:val="en-US" w:eastAsia="zh-CN"/>
        </w:rPr>
        <w:t>66.79</w:t>
      </w:r>
      <w:r>
        <w:rPr>
          <w:rFonts w:ascii="TimesNewRoman" w:eastAsia="仿宋_GB2312" w:cs="TimesNewRoman" w:hAnsi="TimesNewRoman" w:hint="eastAsia"/>
          <w:kern w:val="0"/>
          <w:sz w:val="32"/>
          <w:szCs w:val="32"/>
        </w:rPr>
        <w:t>%；社会保障和就业支出</w:t>
      </w:r>
      <w:r>
        <w:rPr>
          <w:rFonts w:ascii="TimesNewRoman" w:eastAsia="仿宋_GB2312" w:cs="TimesNewRoman" w:hAnsi="TimesNewRoman" w:hint="eastAsia"/>
          <w:kern w:val="0"/>
          <w:sz w:val="32"/>
          <w:szCs w:val="32"/>
          <w:lang w:val="en-US" w:eastAsia="zh-CN"/>
        </w:rPr>
        <w:t>50.88</w:t>
      </w:r>
      <w:r>
        <w:rPr>
          <w:rFonts w:ascii="TimesNewRoman" w:eastAsia="仿宋_GB2312" w:cs="TimesNewRoman" w:hAnsi="TimesNewRoman" w:hint="eastAsia"/>
          <w:kern w:val="0"/>
          <w:sz w:val="32"/>
          <w:szCs w:val="32"/>
        </w:rPr>
        <w:t>万元，占</w:t>
      </w:r>
      <w:r>
        <w:rPr>
          <w:rFonts w:ascii="TimesNewRoman" w:eastAsia="仿宋_GB2312" w:cs="TimesNewRoman" w:hAnsi="TimesNewRoman" w:hint="eastAsia"/>
          <w:kern w:val="0"/>
          <w:sz w:val="32"/>
          <w:szCs w:val="32"/>
          <w:lang w:val="en-US" w:eastAsia="zh-CN"/>
        </w:rPr>
        <w:t>15.54</w:t>
      </w:r>
      <w:r>
        <w:rPr>
          <w:rFonts w:ascii="TimesNewRoman" w:eastAsia="仿宋_GB2312" w:cs="TimesNewRoman" w:hAnsi="TimesNewRoman" w:hint="eastAsia"/>
          <w:kern w:val="0"/>
          <w:sz w:val="32"/>
          <w:szCs w:val="32"/>
        </w:rPr>
        <w:t>%；卫生健康支出</w:t>
      </w:r>
      <w:r>
        <w:rPr>
          <w:rFonts w:ascii="TimesNewRoman" w:eastAsia="仿宋_GB2312" w:cs="TimesNewRoman" w:hAnsi="TimesNewRoman" w:hint="eastAsia"/>
          <w:kern w:val="0"/>
          <w:sz w:val="32"/>
          <w:szCs w:val="32"/>
          <w:lang w:val="en-US" w:eastAsia="zh-CN"/>
        </w:rPr>
        <w:t>14.25</w:t>
      </w:r>
      <w:r>
        <w:rPr>
          <w:rFonts w:ascii="TimesNewRoman" w:eastAsia="仿宋_GB2312" w:cs="TimesNewRoman" w:hAnsi="TimesNewRoman" w:hint="eastAsia"/>
          <w:kern w:val="0"/>
          <w:sz w:val="32"/>
          <w:szCs w:val="32"/>
        </w:rPr>
        <w:t>万元，占</w:t>
      </w:r>
      <w:r>
        <w:rPr>
          <w:rFonts w:ascii="TimesNewRoman" w:eastAsia="仿宋_GB2312" w:cs="TimesNewRoman" w:hAnsi="TimesNewRoman" w:hint="eastAsia"/>
          <w:kern w:val="0"/>
          <w:sz w:val="32"/>
          <w:szCs w:val="32"/>
          <w:lang w:val="en-US" w:eastAsia="zh-CN"/>
        </w:rPr>
        <w:t>4.35</w:t>
      </w:r>
      <w:r>
        <w:rPr>
          <w:rFonts w:ascii="TimesNewRoman" w:eastAsia="仿宋_GB2312" w:cs="TimesNewRoman" w:hAnsi="TimesNewRoman" w:hint="eastAsia"/>
          <w:kern w:val="0"/>
          <w:sz w:val="32"/>
          <w:szCs w:val="32"/>
        </w:rPr>
        <w:t>%；住房保障支出</w:t>
      </w:r>
      <w:r>
        <w:rPr>
          <w:rFonts w:ascii="TimesNewRoman" w:eastAsia="仿宋_GB2312" w:cs="TimesNewRoman" w:hAnsi="TimesNewRoman" w:hint="eastAsia"/>
          <w:kern w:val="0"/>
          <w:sz w:val="32"/>
          <w:szCs w:val="32"/>
          <w:lang w:val="en-US" w:eastAsia="zh-CN"/>
        </w:rPr>
        <w:t>43.60</w:t>
      </w:r>
      <w:r>
        <w:rPr>
          <w:rFonts w:ascii="TimesNewRoman" w:eastAsia="仿宋_GB2312" w:cs="TimesNewRoman" w:hAnsi="TimesNewRoman" w:hint="eastAsia"/>
          <w:kern w:val="0"/>
          <w:sz w:val="32"/>
          <w:szCs w:val="32"/>
        </w:rPr>
        <w:t>万元，占</w:t>
      </w:r>
      <w:r>
        <w:rPr>
          <w:rFonts w:ascii="TimesNewRoman" w:eastAsia="仿宋_GB2312" w:cs="TimesNewRoman" w:hAnsi="TimesNewRoman" w:hint="eastAsia"/>
          <w:kern w:val="0"/>
          <w:sz w:val="32"/>
          <w:szCs w:val="32"/>
          <w:lang w:val="en-US" w:eastAsia="zh-CN"/>
        </w:rPr>
        <w:t>13.32</w:t>
      </w:r>
      <w:r>
        <w:rPr>
          <w:rFonts w:ascii="TimesNewRoman" w:eastAsia="仿宋_GB2312" w:cs="TimesNewRoman" w:hAnsi="TimesNewRoman" w:hint="eastAsia"/>
          <w:kern w:val="0"/>
          <w:sz w:val="32"/>
          <w:szCs w:val="32"/>
        </w:rPr>
        <w:t>%。</w:t>
      </w:r>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五、关于2024年一般公共预算支出表的说明</w:t>
      </w:r>
    </w:p>
    <w:p>
      <w:pPr>
        <w:pStyle w:val="19"/>
        <w:adjustRightInd w:val="0"/>
        <w:snapToGrid w:val="0"/>
        <w:spacing w:line="560" w:lineRule="exact"/>
        <w:ind w:firstLineChars="196" w:firstLine="627"/>
        <w:rPr>
          <w:rFonts w:ascii="TimesNewRoman" w:eastAsia="楷体_GB2312" w:cs="TimesNewRoman" w:hAnsi="TimesNewRoman"/>
          <w:b/>
          <w:sz w:val="32"/>
          <w:szCs w:val="32"/>
        </w:rPr>
      </w:pPr>
      <w:r>
        <w:rPr>
          <w:rFonts w:ascii="TimesNewRoman" w:eastAsia="楷体_GB2312" w:cs="TimesNewRoman" w:hAnsi="TimesNewRoman" w:hint="eastAsia"/>
          <w:b/>
          <w:sz w:val="32"/>
          <w:szCs w:val="32"/>
        </w:rPr>
        <w:t>（一）一般公共预算支出规模变化情况。</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2024年一般公共预算支出</w:t>
      </w:r>
      <w:r>
        <w:rPr>
          <w:rFonts w:ascii="TimesNewRoman" w:eastAsia="仿宋_GB2312" w:cs="TimesNewRoman" w:hAnsi="TimesNewRoman" w:hint="eastAsia"/>
          <w:sz w:val="32"/>
          <w:szCs w:val="32"/>
          <w:lang w:val="en-US" w:eastAsia="zh-CN"/>
        </w:rPr>
        <w:t>327.40</w:t>
      </w:r>
      <w:r>
        <w:rPr>
          <w:rFonts w:ascii="TimesNewRoman" w:eastAsia="仿宋_GB2312" w:cs="TimesNewRoman" w:hAnsi="TimesNewRoman" w:hint="eastAsia"/>
          <w:kern w:val="0"/>
          <w:sz w:val="32"/>
          <w:szCs w:val="32"/>
        </w:rPr>
        <w:t>万元，比2023年预算增加</w:t>
      </w:r>
      <w:r>
        <w:rPr>
          <w:rFonts w:ascii="TimesNewRoman" w:eastAsia="仿宋_GB2312" w:cs="TimesNewRoman" w:hAnsi="TimesNewRoman" w:hint="eastAsia"/>
          <w:kern w:val="0"/>
          <w:sz w:val="32"/>
          <w:szCs w:val="32"/>
          <w:lang w:val="en-US" w:eastAsia="zh-CN"/>
        </w:rPr>
        <w:t>6.09</w:t>
      </w:r>
      <w:r>
        <w:rPr>
          <w:rFonts w:ascii="TimesNewRoman" w:eastAsia="仿宋_GB2312" w:cs="TimesNewRoman" w:hAnsi="TimesNewRoman" w:hint="eastAsia"/>
          <w:kern w:val="0"/>
          <w:sz w:val="32"/>
          <w:szCs w:val="32"/>
        </w:rPr>
        <w:t>万元，增长</w:t>
      </w:r>
      <w:r>
        <w:rPr>
          <w:rFonts w:ascii="TimesNewRoman" w:eastAsia="仿宋_GB2312" w:cs="TimesNewRoman" w:hAnsi="TimesNewRoman" w:hint="eastAsia"/>
          <w:kern w:val="0"/>
          <w:sz w:val="32"/>
          <w:szCs w:val="32"/>
          <w:lang w:val="en-US" w:eastAsia="zh-CN"/>
        </w:rPr>
        <w:t>1.90</w:t>
      </w:r>
      <w:r>
        <w:rPr>
          <w:rFonts w:ascii="TimesNewRoman" w:eastAsia="仿宋_GB2312" w:cs="TimesNewRoman" w:hAnsi="TimesNewRoman" w:hint="eastAsia"/>
          <w:kern w:val="0"/>
          <w:sz w:val="32"/>
          <w:szCs w:val="32"/>
        </w:rPr>
        <w:t>%，主要原因：</w:t>
      </w:r>
      <w:r>
        <w:rPr>
          <w:rFonts w:ascii="TimesNewRoman" w:eastAsia="仿宋_GB2312" w:cs="TimesNewRoman" w:hAnsi="TimesNewRoman"/>
          <w:kern w:val="0"/>
          <w:sz w:val="32"/>
          <w:szCs w:val="32"/>
        </w:rPr>
        <w:t>人员经费增加</w:t>
      </w:r>
      <w:r>
        <w:rPr>
          <w:rFonts w:ascii="TimesNewRoman" w:eastAsia="仿宋_GB2312" w:cs="TimesNewRoman" w:hAnsi="TimesNewRoman" w:hint="eastAsia"/>
          <w:kern w:val="0"/>
          <w:sz w:val="32"/>
          <w:szCs w:val="32"/>
          <w:lang w:eastAsia="zh-CN"/>
        </w:rPr>
        <w:t>。</w:t>
      </w:r>
    </w:p>
    <w:p>
      <w:pPr>
        <w:pStyle w:val="19"/>
        <w:adjustRightInd w:val="0"/>
        <w:snapToGrid w:val="0"/>
        <w:spacing w:line="560" w:lineRule="exact"/>
        <w:ind w:firstLineChars="196" w:firstLine="627"/>
        <w:rPr>
          <w:rFonts w:ascii="TimesNewRoman" w:eastAsia="楷体_GB2312" w:cs="TimesNewRoman" w:hAnsi="TimesNewRoman"/>
          <w:b/>
          <w:sz w:val="32"/>
          <w:szCs w:val="32"/>
        </w:rPr>
      </w:pPr>
      <w:r>
        <w:rPr>
          <w:rFonts w:ascii="TimesNewRoman" w:eastAsia="楷体_GB2312" w:cs="TimesNewRoman" w:hAnsi="TimesNewRoman" w:hint="eastAsia"/>
          <w:b/>
          <w:sz w:val="32"/>
          <w:szCs w:val="32"/>
        </w:rPr>
        <w:t>（二）一般公共预算支出结构情况。</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一般公共服务支出</w:t>
      </w:r>
      <w:r>
        <w:rPr>
          <w:rFonts w:ascii="TimesNewRoman" w:eastAsia="仿宋_GB2312" w:cs="TimesNewRoman" w:hAnsi="TimesNewRoman" w:hint="eastAsia"/>
          <w:kern w:val="0"/>
          <w:sz w:val="32"/>
          <w:szCs w:val="32"/>
          <w:lang w:val="en-US" w:eastAsia="zh-CN"/>
        </w:rPr>
        <w:t>218.67</w:t>
      </w:r>
      <w:r>
        <w:rPr>
          <w:rFonts w:ascii="TimesNewRoman" w:eastAsia="仿宋_GB2312" w:cs="TimesNewRoman" w:hAnsi="TimesNewRoman" w:hint="eastAsia"/>
          <w:kern w:val="0"/>
          <w:sz w:val="32"/>
          <w:szCs w:val="32"/>
        </w:rPr>
        <w:t>万元，占</w:t>
      </w:r>
      <w:r>
        <w:rPr>
          <w:rFonts w:ascii="TimesNewRoman" w:eastAsia="仿宋_GB2312" w:cs="TimesNewRoman" w:hAnsi="TimesNewRoman" w:hint="eastAsia"/>
          <w:kern w:val="0"/>
          <w:sz w:val="32"/>
          <w:szCs w:val="32"/>
          <w:lang w:val="en-US" w:eastAsia="zh-CN"/>
        </w:rPr>
        <w:t>66.79</w:t>
      </w:r>
      <w:r>
        <w:rPr>
          <w:rFonts w:ascii="TimesNewRoman" w:eastAsia="仿宋_GB2312" w:cs="TimesNewRoman" w:hAnsi="TimesNewRoman" w:hint="eastAsia"/>
          <w:kern w:val="0"/>
          <w:sz w:val="32"/>
          <w:szCs w:val="32"/>
        </w:rPr>
        <w:t>%；社会保障和就业支出</w:t>
      </w:r>
      <w:r>
        <w:rPr>
          <w:rFonts w:ascii="TimesNewRoman" w:eastAsia="仿宋_GB2312" w:cs="TimesNewRoman" w:hAnsi="TimesNewRoman" w:hint="eastAsia"/>
          <w:kern w:val="0"/>
          <w:sz w:val="32"/>
          <w:szCs w:val="32"/>
          <w:lang w:val="en-US" w:eastAsia="zh-CN"/>
        </w:rPr>
        <w:t>50.88</w:t>
      </w:r>
      <w:r>
        <w:rPr>
          <w:rFonts w:ascii="TimesNewRoman" w:eastAsia="仿宋_GB2312" w:cs="TimesNewRoman" w:hAnsi="TimesNewRoman" w:hint="eastAsia"/>
          <w:kern w:val="0"/>
          <w:sz w:val="32"/>
          <w:szCs w:val="32"/>
        </w:rPr>
        <w:t>万元，占</w:t>
      </w:r>
      <w:r>
        <w:rPr>
          <w:rFonts w:ascii="TimesNewRoman" w:eastAsia="仿宋_GB2312" w:cs="TimesNewRoman" w:hAnsi="TimesNewRoman" w:hint="eastAsia"/>
          <w:kern w:val="0"/>
          <w:sz w:val="32"/>
          <w:szCs w:val="32"/>
          <w:lang w:val="en-US" w:eastAsia="zh-CN"/>
        </w:rPr>
        <w:t>15.54</w:t>
      </w:r>
      <w:r>
        <w:rPr>
          <w:rFonts w:ascii="TimesNewRoman" w:eastAsia="仿宋_GB2312" w:cs="TimesNewRoman" w:hAnsi="TimesNewRoman" w:hint="eastAsia"/>
          <w:kern w:val="0"/>
          <w:sz w:val="32"/>
          <w:szCs w:val="32"/>
        </w:rPr>
        <w:t>%；卫生健康支出</w:t>
      </w:r>
      <w:r>
        <w:rPr>
          <w:rFonts w:ascii="TimesNewRoman" w:eastAsia="仿宋_GB2312" w:cs="TimesNewRoman" w:hAnsi="TimesNewRoman" w:hint="eastAsia"/>
          <w:kern w:val="0"/>
          <w:sz w:val="32"/>
          <w:szCs w:val="32"/>
          <w:lang w:val="en-US" w:eastAsia="zh-CN"/>
        </w:rPr>
        <w:t>14.25</w:t>
      </w:r>
      <w:r>
        <w:rPr>
          <w:rFonts w:ascii="TimesNewRoman" w:eastAsia="仿宋_GB2312" w:cs="TimesNewRoman" w:hAnsi="TimesNewRoman" w:hint="eastAsia"/>
          <w:kern w:val="0"/>
          <w:sz w:val="32"/>
          <w:szCs w:val="32"/>
        </w:rPr>
        <w:t>万元，占</w:t>
      </w:r>
      <w:r>
        <w:rPr>
          <w:rFonts w:ascii="TimesNewRoman" w:eastAsia="仿宋_GB2312" w:cs="TimesNewRoman" w:hAnsi="TimesNewRoman" w:hint="eastAsia"/>
          <w:kern w:val="0"/>
          <w:sz w:val="32"/>
          <w:szCs w:val="32"/>
          <w:lang w:val="en-US" w:eastAsia="zh-CN"/>
        </w:rPr>
        <w:t>4.35</w:t>
      </w:r>
      <w:r>
        <w:rPr>
          <w:rFonts w:ascii="TimesNewRoman" w:eastAsia="仿宋_GB2312" w:cs="TimesNewRoman" w:hAnsi="TimesNewRoman" w:hint="eastAsia"/>
          <w:kern w:val="0"/>
          <w:sz w:val="32"/>
          <w:szCs w:val="32"/>
        </w:rPr>
        <w:t>%；住房保障支出</w:t>
      </w:r>
      <w:r>
        <w:rPr>
          <w:rFonts w:ascii="TimesNewRoman" w:eastAsia="仿宋_GB2312" w:cs="TimesNewRoman" w:hAnsi="TimesNewRoman" w:hint="eastAsia"/>
          <w:kern w:val="0"/>
          <w:sz w:val="32"/>
          <w:szCs w:val="32"/>
          <w:lang w:val="en-US" w:eastAsia="zh-CN"/>
        </w:rPr>
        <w:t>43.60</w:t>
      </w:r>
      <w:r>
        <w:rPr>
          <w:rFonts w:ascii="TimesNewRoman" w:eastAsia="仿宋_GB2312" w:cs="TimesNewRoman" w:hAnsi="TimesNewRoman" w:hint="eastAsia"/>
          <w:kern w:val="0"/>
          <w:sz w:val="32"/>
          <w:szCs w:val="32"/>
        </w:rPr>
        <w:t>万元，占</w:t>
      </w:r>
      <w:r>
        <w:rPr>
          <w:rFonts w:ascii="TimesNewRoman" w:eastAsia="仿宋_GB2312" w:cs="TimesNewRoman" w:hAnsi="TimesNewRoman" w:hint="eastAsia"/>
          <w:kern w:val="0"/>
          <w:sz w:val="32"/>
          <w:szCs w:val="32"/>
          <w:lang w:val="en-US" w:eastAsia="zh-CN"/>
        </w:rPr>
        <w:t>13.32</w:t>
      </w:r>
      <w:r>
        <w:rPr>
          <w:rFonts w:ascii="TimesNewRoman" w:eastAsia="仿宋_GB2312" w:cs="TimesNewRoman" w:hAnsi="TimesNewRoman" w:hint="eastAsia"/>
          <w:kern w:val="0"/>
          <w:sz w:val="32"/>
          <w:szCs w:val="32"/>
        </w:rPr>
        <w:t>%。</w:t>
      </w:r>
    </w:p>
    <w:p>
      <w:pPr>
        <w:pStyle w:val="19"/>
        <w:adjustRightInd w:val="0"/>
        <w:snapToGrid w:val="0"/>
        <w:spacing w:line="560" w:lineRule="exact"/>
        <w:ind w:firstLineChars="196" w:firstLine="627"/>
        <w:rPr>
          <w:rFonts w:ascii="TimesNewRoman" w:eastAsia="楷体_GB2312" w:cs="TimesNewRoman" w:hAnsi="TimesNewRoman"/>
          <w:b/>
          <w:sz w:val="32"/>
          <w:szCs w:val="32"/>
        </w:rPr>
      </w:pPr>
      <w:r>
        <w:rPr>
          <w:rFonts w:ascii="TimesNewRoman" w:eastAsia="楷体_GB2312" w:cs="TimesNewRoman" w:hAnsi="TimesNewRoman" w:hint="eastAsia"/>
          <w:b/>
          <w:sz w:val="32"/>
          <w:szCs w:val="32"/>
        </w:rPr>
        <w:t>（三）一般公共预算支出具体使用情况。</w:t>
      </w:r>
    </w:p>
    <w:p>
      <w:pPr>
        <w:ind w:firstLineChars="200" w:firstLine="640"/>
        <w:rPr>
          <w:rFonts w:ascii="TimesNewRoman" w:eastAsia="仿宋_GB2312" w:cs="TimesNewRoman" w:hAnsi="TimesNewRoman" w:hint="eastAsia"/>
          <w:kern w:val="0"/>
          <w:sz w:val="32"/>
          <w:szCs w:val="32"/>
          <w:shd w:val="clear" w:color="auto" w:fill="auto"/>
        </w:rPr>
      </w:pPr>
      <w:r>
        <w:rPr>
          <w:rFonts w:ascii="TimesNewRoman" w:eastAsia="仿宋_GB2312" w:cs="TimesNewRoman" w:hAnsi="TimesNewRoman" w:hint="eastAsia"/>
          <w:bCs/>
          <w:kern w:val="0"/>
          <w:sz w:val="32"/>
          <w:szCs w:val="32"/>
          <w:shd w:val="clear" w:color="auto" w:fill="auto"/>
          <w:lang w:val="en-US" w:eastAsia="zh-CN" w:bidi="ar-SA"/>
        </w:rPr>
        <w:t>1.一般公共服务支出（类）发展与改革事务（款）物价管理（项）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年预算31.60万元，与202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年相比无变化。</w:t>
      </w:r>
    </w:p>
    <w:p>
      <w:pPr>
        <w:ind w:firstLineChars="200" w:firstLine="640"/>
        <w:rPr>
          <w:rFonts w:ascii="TimesNewRoman" w:eastAsia="仿宋_GB2312" w:cs="TimesNewRoman" w:hAnsi="TimesNewRoman" w:hint="eastAsia"/>
          <w:kern w:val="0"/>
          <w:sz w:val="32"/>
          <w:szCs w:val="32"/>
          <w:shd w:val="clear" w:color="auto" w:fill="auto"/>
          <w:lang w:val="en-US" w:eastAsia="zh-CN" w:bidi="ar-SA"/>
        </w:rPr>
      </w:pPr>
      <w:r>
        <w:rPr>
          <w:rFonts w:ascii="TimesNewRoman" w:eastAsia="仿宋_GB2312" w:cs="TimesNewRoman" w:hAnsi="TimesNewRoman" w:hint="eastAsia"/>
          <w:bCs/>
          <w:kern w:val="0"/>
          <w:sz w:val="32"/>
          <w:szCs w:val="32"/>
          <w:shd w:val="clear" w:color="auto" w:fill="auto"/>
          <w:lang w:val="en-US" w:eastAsia="zh-CN" w:bidi="ar-SA"/>
        </w:rPr>
        <w:t>2.一般公共服务支出（类）发展与改革事务（款）事业运行（项）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年预算186.82万元，比202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年预算减少4.89万元，下降2.55%，原因主要是人员变动。</w:t>
      </w:r>
    </w:p>
    <w:p>
      <w:pPr>
        <w:ind w:firstLineChars="200" w:firstLine="640"/>
        <w:rPr>
          <w:rFonts w:ascii="TimesNewRoman" w:eastAsia="仿宋_GB2312" w:cs="TimesNewRoman" w:hAnsi="TimesNewRoman" w:hint="eastAsia"/>
          <w:kern w:val="0"/>
          <w:sz w:val="32"/>
          <w:szCs w:val="32"/>
          <w:shd w:val="clear" w:color="auto" w:fill="auto"/>
          <w:lang w:val="en-US" w:eastAsia="zh-CN"/>
        </w:rPr>
      </w:pPr>
      <w:r>
        <w:rPr>
          <w:rFonts w:ascii="TimesNewRoman" w:eastAsia="仿宋_GB2312" w:cs="TimesNewRoman" w:hAnsi="TimesNewRoman" w:hint="eastAsia"/>
          <w:bCs/>
          <w:kern w:val="0"/>
          <w:sz w:val="32"/>
          <w:szCs w:val="32"/>
          <w:shd w:val="clear" w:color="auto" w:fill="auto"/>
          <w:lang w:val="en-US" w:eastAsia="zh-CN" w:bidi="ar-SA"/>
        </w:rPr>
        <w:t>3.一般公共服务支出（类）发展与改革事务（款）其他发展与改革事务支出（项）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年预算0.24万元，比202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年预算增加0.24万元，原因主要是</w:t>
      </w:r>
      <w:r>
        <w:rPr>
          <w:rFonts w:ascii="TimesNewRoman" w:eastAsia="仿宋_GB2312" w:cs="TimesNewRoman" w:hAnsi="TimesNewRoman"/>
          <w:kern w:val="0"/>
          <w:sz w:val="32"/>
          <w:szCs w:val="32"/>
          <w:shd w:val="clear" w:color="auto" w:fill="auto"/>
          <w:lang w:val="en-US" w:eastAsia="zh-CN" w:bidi="ar-SA"/>
        </w:rPr>
        <w:t>退休人员工会经费。</w:t>
      </w:r>
    </w:p>
    <w:p>
      <w:pPr>
        <w:ind w:firstLineChars="200" w:firstLine="640"/>
        <w:rPr>
          <w:rFonts w:ascii="TimesNewRoman" w:eastAsia="仿宋_GB2312" w:cs="TimesNewRoman" w:hAnsi="TimesNewRoman" w:hint="eastAsia"/>
          <w:kern w:val="0"/>
          <w:sz w:val="32"/>
          <w:szCs w:val="32"/>
          <w:shd w:val="clear" w:color="auto" w:fill="auto"/>
          <w:lang w:val="en-US" w:eastAsia="zh-CN"/>
        </w:rPr>
      </w:pPr>
      <w:r>
        <w:rPr>
          <w:rFonts w:ascii="TimesNewRoman" w:eastAsia="仿宋_GB2312" w:cs="TimesNewRoman" w:hAnsi="TimesNewRoman" w:hint="eastAsia"/>
          <w:bCs/>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rPr>
        <w:t>社会保障和就业支出（类）行政事业单位</w:t>
      </w:r>
      <w:r>
        <w:rPr>
          <w:rFonts w:ascii="TimesNewRoman" w:eastAsia="仿宋_GB2312" w:cs="TimesNewRoman" w:hAnsi="TimesNewRoman" w:hint="eastAsia"/>
          <w:kern w:val="0"/>
          <w:sz w:val="32"/>
          <w:szCs w:val="32"/>
          <w:shd w:val="clear" w:color="auto" w:fill="auto"/>
          <w:lang w:eastAsia="zh-CN"/>
        </w:rPr>
        <w:t>养老支出</w:t>
      </w:r>
      <w:r>
        <w:rPr>
          <w:rFonts w:ascii="TimesNewRoman" w:eastAsia="仿宋_GB2312" w:cs="TimesNewRoman" w:hAnsi="TimesNewRoman" w:hint="eastAsia"/>
          <w:kern w:val="0"/>
          <w:sz w:val="32"/>
          <w:szCs w:val="32"/>
          <w:shd w:val="clear" w:color="auto" w:fill="auto"/>
        </w:rPr>
        <w:t>（款）</w:t>
      </w:r>
      <w:r>
        <w:rPr>
          <w:rFonts w:ascii="TimesNewRoman" w:eastAsia="仿宋_GB2312" w:cs="TimesNewRoman" w:hAnsi="TimesNewRoman" w:hint="eastAsia"/>
          <w:bCs/>
          <w:kern w:val="0"/>
          <w:sz w:val="32"/>
          <w:szCs w:val="32"/>
          <w:shd w:val="clear" w:color="auto" w:fill="auto"/>
          <w:lang w:val="en-US" w:eastAsia="zh-CN" w:bidi="ar-SA"/>
        </w:rPr>
        <w:t>事业单位离退休（项）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w:t>
      </w:r>
      <w:r>
        <w:rPr>
          <w:rFonts w:ascii="TimesNewRoman" w:eastAsia="仿宋_GB2312" w:cs="TimesNewRoman" w:hAnsi="TimesNewRoman"/>
          <w:kern w:val="0"/>
          <w:sz w:val="32"/>
          <w:szCs w:val="32"/>
          <w:shd w:val="clear" w:color="auto" w:fill="auto"/>
          <w:lang w:val="en-US" w:eastAsia="zh-CN" w:bidi="ar-SA"/>
        </w:rPr>
        <w:t>10.59</w:t>
      </w:r>
      <w:r>
        <w:rPr>
          <w:rFonts w:ascii="TimesNewRoman" w:eastAsia="仿宋_GB2312" w:cs="TimesNewRoman" w:hAnsi="TimesNewRoman" w:hint="eastAsia"/>
          <w:kern w:val="0"/>
          <w:sz w:val="32"/>
          <w:szCs w:val="32"/>
          <w:shd w:val="clear" w:color="auto" w:fill="auto"/>
          <w:lang w:val="en-US" w:eastAsia="zh-CN" w:bidi="ar-SA"/>
        </w:rPr>
        <w:t>万元，比202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年预算增加0.63万元，增长6.34%，原因主要是</w:t>
      </w:r>
      <w:r>
        <w:rPr>
          <w:rFonts w:ascii="TimesNewRoman" w:eastAsia="仿宋_GB2312" w:cs="TimesNewRoman" w:hAnsi="TimesNewRoman"/>
          <w:kern w:val="0"/>
          <w:sz w:val="32"/>
          <w:szCs w:val="32"/>
          <w:shd w:val="clear" w:color="auto" w:fill="auto"/>
          <w:lang w:val="en-US" w:eastAsia="zh-CN" w:bidi="ar-SA"/>
        </w:rPr>
        <w:t>离</w:t>
      </w:r>
      <w:r>
        <w:rPr>
          <w:rFonts w:ascii="TimesNewRoman" w:eastAsia="仿宋_GB2312" w:cs="TimesNewRoman" w:hAnsi="TimesNewRoman" w:hint="eastAsia"/>
          <w:kern w:val="0"/>
          <w:sz w:val="32"/>
          <w:szCs w:val="32"/>
          <w:shd w:val="clear" w:color="auto" w:fill="auto"/>
          <w:lang w:val="en-US" w:eastAsia="zh-CN" w:bidi="ar-SA"/>
        </w:rPr>
        <w:t>退休人员变动。</w:t>
      </w:r>
    </w:p>
    <w:p>
      <w:pPr>
        <w:ind w:firstLineChars="200" w:firstLine="640"/>
        <w:rPr>
          <w:rFonts w:ascii="TimesNewRoman" w:eastAsia="仿宋_GB2312" w:cs="TimesNewRoman" w:hAnsi="TimesNewRoman" w:hint="eastAsia"/>
          <w:kern w:val="0"/>
          <w:sz w:val="32"/>
          <w:szCs w:val="32"/>
          <w:shd w:val="clear" w:color="auto" w:fill="auto"/>
          <w:lang w:val="en-US" w:eastAsia="zh-CN" w:bidi="ar-SA"/>
        </w:rPr>
      </w:pPr>
      <w:r>
        <w:rPr>
          <w:rFonts w:ascii="TimesNewRoman" w:eastAsia="仿宋_GB2312" w:cs="TimesNewRoman" w:hAnsi="TimesNewRoman" w:hint="eastAsia"/>
          <w:bCs/>
          <w:kern w:val="0"/>
          <w:sz w:val="32"/>
          <w:szCs w:val="32"/>
          <w:shd w:val="clear" w:color="auto" w:fill="auto"/>
          <w:lang w:val="en-US" w:eastAsia="zh-CN" w:bidi="ar-SA"/>
        </w:rPr>
        <w:t>5.</w:t>
      </w:r>
      <w:r>
        <w:rPr>
          <w:rFonts w:ascii="TimesNewRoman" w:eastAsia="仿宋_GB2312" w:cs="TimesNewRoman" w:hAnsi="TimesNewRoman" w:hint="eastAsia"/>
          <w:kern w:val="0"/>
          <w:sz w:val="32"/>
          <w:szCs w:val="32"/>
          <w:shd w:val="clear" w:color="auto" w:fill="auto"/>
        </w:rPr>
        <w:t>社会保障和就业支出（类）行政事业单位</w:t>
      </w:r>
      <w:r>
        <w:rPr>
          <w:rFonts w:ascii="TimesNewRoman" w:eastAsia="仿宋_GB2312" w:cs="TimesNewRoman" w:hAnsi="TimesNewRoman" w:hint="eastAsia"/>
          <w:kern w:val="0"/>
          <w:sz w:val="32"/>
          <w:szCs w:val="32"/>
          <w:shd w:val="clear" w:color="auto" w:fill="auto"/>
          <w:lang w:eastAsia="zh-CN"/>
        </w:rPr>
        <w:t>养老支出</w:t>
      </w:r>
      <w:r>
        <w:rPr>
          <w:rFonts w:ascii="TimesNewRoman" w:eastAsia="仿宋_GB2312" w:cs="TimesNewRoman" w:hAnsi="TimesNewRoman" w:hint="eastAsia"/>
          <w:kern w:val="0"/>
          <w:sz w:val="32"/>
          <w:szCs w:val="32"/>
          <w:shd w:val="clear" w:color="auto" w:fill="auto"/>
        </w:rPr>
        <w:t>（款）</w:t>
      </w:r>
      <w:r>
        <w:rPr>
          <w:rFonts w:ascii="TimesNewRoman" w:eastAsia="仿宋_GB2312" w:cs="TimesNewRoman" w:hAnsi="TimesNewRoman" w:hint="eastAsia"/>
          <w:bCs/>
          <w:kern w:val="0"/>
          <w:sz w:val="32"/>
          <w:szCs w:val="32"/>
          <w:shd w:val="clear" w:color="auto" w:fill="auto"/>
          <w:lang w:val="en-US" w:eastAsia="zh-CN" w:bidi="ar-SA"/>
        </w:rPr>
        <w:t>机关事业单位基本养老保险缴费支出（项）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年预算26.30万元，比202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年预算增加0.69万元，增长2.68%，原因主要是机关事业单位基本养老保险基数调整。</w:t>
      </w:r>
    </w:p>
    <w:p>
      <w:pPr>
        <w:ind w:firstLineChars="200" w:firstLine="640"/>
        <w:rPr>
          <w:rFonts w:ascii="TimesNewRoman" w:eastAsia="仿宋_GB2312" w:cs="TimesNewRoman" w:hAnsi="TimesNewRoman" w:hint="eastAsia"/>
          <w:kern w:val="0"/>
          <w:sz w:val="32"/>
          <w:szCs w:val="32"/>
          <w:shd w:val="clear" w:color="auto" w:fill="auto"/>
          <w:lang w:val="en-US" w:eastAsia="zh-CN" w:bidi="ar-SA"/>
        </w:rPr>
      </w:pPr>
      <w:r>
        <w:rPr>
          <w:rFonts w:ascii="TimesNewRoman" w:eastAsia="仿宋_GB2312" w:cs="TimesNewRoman" w:hAnsi="TimesNewRoman" w:hint="eastAsia"/>
          <w:bCs/>
          <w:kern w:val="0"/>
          <w:sz w:val="32"/>
          <w:szCs w:val="32"/>
          <w:shd w:val="clear" w:color="auto" w:fill="auto"/>
          <w:lang w:val="en-US" w:eastAsia="zh-CN" w:bidi="ar-SA"/>
        </w:rPr>
        <w:t>6.</w:t>
      </w:r>
      <w:r>
        <w:rPr>
          <w:rFonts w:ascii="TimesNewRoman" w:eastAsia="仿宋_GB2312" w:cs="TimesNewRoman" w:hAnsi="TimesNewRoman" w:hint="eastAsia"/>
          <w:kern w:val="0"/>
          <w:sz w:val="32"/>
          <w:szCs w:val="32"/>
          <w:shd w:val="clear" w:color="auto" w:fill="auto"/>
        </w:rPr>
        <w:t>社会保障和就业支出（类）行政事业单位</w:t>
      </w:r>
      <w:r>
        <w:rPr>
          <w:rFonts w:ascii="TimesNewRoman" w:eastAsia="仿宋_GB2312" w:cs="TimesNewRoman" w:hAnsi="TimesNewRoman" w:hint="eastAsia"/>
          <w:kern w:val="0"/>
          <w:sz w:val="32"/>
          <w:szCs w:val="32"/>
          <w:shd w:val="clear" w:color="auto" w:fill="auto"/>
          <w:lang w:eastAsia="zh-CN"/>
        </w:rPr>
        <w:t>养老支出</w:t>
      </w:r>
      <w:r>
        <w:rPr>
          <w:rFonts w:ascii="TimesNewRoman" w:eastAsia="仿宋_GB2312" w:cs="TimesNewRoman" w:hAnsi="TimesNewRoman" w:hint="eastAsia"/>
          <w:kern w:val="0"/>
          <w:sz w:val="32"/>
          <w:szCs w:val="32"/>
          <w:shd w:val="clear" w:color="auto" w:fill="auto"/>
        </w:rPr>
        <w:t>（款）</w:t>
      </w:r>
      <w:r>
        <w:rPr>
          <w:rFonts w:ascii="TimesNewRoman" w:eastAsia="仿宋_GB2312" w:cs="TimesNewRoman" w:hAnsi="TimesNewRoman" w:hint="eastAsia"/>
          <w:bCs/>
          <w:kern w:val="0"/>
          <w:sz w:val="32"/>
          <w:szCs w:val="32"/>
          <w:shd w:val="clear" w:color="auto" w:fill="auto"/>
          <w:lang w:val="en-US" w:eastAsia="zh-CN" w:bidi="ar-SA"/>
        </w:rPr>
        <w:t>机关事业单位职业年金缴费支出（项）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年预算13.15万元，比202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年预算增加0.34万元，增长2.68%，原因主要是机关事业单位职业年金基数调整。</w:t>
      </w:r>
    </w:p>
    <w:p>
      <w:pPr>
        <w:ind w:firstLineChars="200" w:firstLine="640"/>
        <w:rPr>
          <w:rFonts w:ascii="TimesNewRoman" w:eastAsia="仿宋_GB2312" w:cs="TimesNewRoman" w:hAnsi="TimesNewRoman" w:hint="eastAsia"/>
          <w:kern w:val="0"/>
          <w:sz w:val="32"/>
          <w:szCs w:val="32"/>
          <w:shd w:val="clear" w:color="auto" w:fill="auto"/>
          <w:lang w:val="en-US" w:eastAsia="zh-CN" w:bidi="ar-SA"/>
        </w:rPr>
      </w:pPr>
      <w:r>
        <w:rPr>
          <w:rFonts w:ascii="TimesNewRoman" w:eastAsia="仿宋_GB2312" w:cs="TimesNewRoman" w:hAnsi="TimesNewRoman" w:hint="eastAsia"/>
          <w:bCs/>
          <w:kern w:val="0"/>
          <w:sz w:val="32"/>
          <w:szCs w:val="32"/>
          <w:shd w:val="clear" w:color="auto" w:fill="auto"/>
          <w:lang w:val="en-US" w:eastAsia="zh-CN" w:bidi="ar-SA"/>
        </w:rPr>
        <w:t>7.</w:t>
      </w:r>
      <w:r>
        <w:rPr>
          <w:rFonts w:ascii="TimesNewRoman" w:eastAsia="仿宋_GB2312" w:cs="TimesNewRoman" w:hAnsi="TimesNewRoman" w:hint="eastAsia"/>
          <w:kern w:val="0"/>
          <w:sz w:val="32"/>
          <w:szCs w:val="32"/>
          <w:shd w:val="clear" w:color="auto" w:fill="auto"/>
        </w:rPr>
        <w:t>社会保障和就业支出（类）</w:t>
      </w:r>
      <w:r>
        <w:rPr>
          <w:rFonts w:ascii="TimesNewRoman" w:eastAsia="仿宋_GB2312" w:cs="TimesNewRoman" w:hAnsi="TimesNewRoman" w:hint="eastAsia"/>
          <w:kern w:val="0"/>
          <w:sz w:val="32"/>
          <w:szCs w:val="32"/>
          <w:shd w:val="clear" w:color="auto" w:fill="auto"/>
          <w:lang w:eastAsia="zh-CN"/>
        </w:rPr>
        <w:t>其他社会保障和就业支出</w:t>
      </w:r>
      <w:r>
        <w:rPr>
          <w:rFonts w:ascii="TimesNewRoman" w:eastAsia="仿宋_GB2312" w:cs="TimesNewRoman" w:hAnsi="TimesNewRoman" w:hint="eastAsia"/>
          <w:kern w:val="0"/>
          <w:sz w:val="32"/>
          <w:szCs w:val="32"/>
          <w:shd w:val="clear" w:color="auto" w:fill="auto"/>
        </w:rPr>
        <w:t>（款）</w:t>
      </w:r>
      <w:r>
        <w:rPr>
          <w:rFonts w:ascii="TimesNewRoman" w:eastAsia="仿宋_GB2312" w:cs="TimesNewRoman" w:hAnsi="TimesNewRoman" w:hint="eastAsia"/>
          <w:bCs/>
          <w:kern w:val="0"/>
          <w:sz w:val="32"/>
          <w:szCs w:val="32"/>
          <w:shd w:val="clear" w:color="auto" w:fill="auto"/>
          <w:lang w:val="en-US" w:eastAsia="zh-CN" w:bidi="ar-SA"/>
        </w:rPr>
        <w:t>其他社会保障和就业支出（项）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年预算0.84万元，比202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年预算</w:t>
      </w:r>
    </w:p>
    <w:p>
      <w:pPr>
        <w:rPr>
          <w:rFonts w:ascii="TimesNewRoman" w:eastAsia="仿宋_GB2312" w:cs="TimesNewRoman" w:hAnsi="TimesNewRoman" w:hint="eastAsia"/>
          <w:kern w:val="0"/>
          <w:sz w:val="32"/>
          <w:szCs w:val="32"/>
          <w:shd w:val="clear" w:color="auto" w:fill="auto"/>
          <w:lang w:val="en-US" w:eastAsia="zh-CN"/>
        </w:rPr>
      </w:pPr>
      <w:r>
        <w:rPr>
          <w:rFonts w:ascii="TimesNewRoman" w:eastAsia="仿宋_GB2312" w:cs="TimesNewRoman" w:hAnsi="TimesNewRoman" w:hint="eastAsia"/>
          <w:kern w:val="0"/>
          <w:sz w:val="32"/>
          <w:szCs w:val="32"/>
          <w:shd w:val="clear" w:color="auto" w:fill="auto"/>
          <w:lang w:val="en-US" w:eastAsia="zh-CN" w:bidi="ar-SA"/>
        </w:rPr>
        <w:t>增加0.02万元，增长2.5%，原因主要是缴费基数调整。</w:t>
      </w:r>
    </w:p>
    <w:p>
      <w:pPr>
        <w:ind w:firstLineChars="200" w:firstLine="640"/>
        <w:rPr>
          <w:rFonts w:ascii="TimesNewRoman" w:eastAsia="仿宋_GB2312" w:cs="TimesNewRoman" w:hAnsi="TimesNewRoman" w:hint="eastAsia"/>
          <w:kern w:val="0"/>
          <w:sz w:val="32"/>
          <w:szCs w:val="32"/>
          <w:shd w:val="clear" w:color="auto" w:fill="auto"/>
          <w:lang w:val="en-US" w:eastAsia="zh-CN"/>
        </w:rPr>
      </w:pPr>
      <w:r>
        <w:rPr>
          <w:rFonts w:ascii="TimesNewRoman" w:eastAsia="仿宋_GB2312" w:cs="TimesNewRoman" w:hAnsi="TimesNewRoman" w:hint="eastAsia"/>
          <w:bCs/>
          <w:kern w:val="0"/>
          <w:sz w:val="32"/>
          <w:szCs w:val="32"/>
          <w:shd w:val="clear" w:color="auto" w:fill="auto"/>
          <w:lang w:val="en-US" w:eastAsia="zh-CN" w:bidi="ar-SA"/>
        </w:rPr>
        <w:t>8.</w:t>
      </w:r>
      <w:r>
        <w:rPr>
          <w:rFonts w:ascii="TimesNewRoman" w:eastAsia="仿宋_GB2312" w:cs="TimesNewRoman" w:hAnsi="TimesNewRoman" w:hint="eastAsia"/>
          <w:kern w:val="0"/>
          <w:sz w:val="32"/>
          <w:szCs w:val="32"/>
          <w:shd w:val="clear" w:color="auto" w:fill="auto"/>
          <w:lang w:eastAsia="zh-CN"/>
        </w:rPr>
        <w:t>卫生健康</w:t>
      </w:r>
      <w:r>
        <w:rPr>
          <w:rFonts w:ascii="TimesNewRoman" w:eastAsia="仿宋_GB2312" w:cs="TimesNewRoman" w:hAnsi="TimesNewRoman" w:hint="eastAsia"/>
          <w:kern w:val="0"/>
          <w:sz w:val="32"/>
          <w:szCs w:val="32"/>
          <w:shd w:val="clear" w:color="auto" w:fill="auto"/>
        </w:rPr>
        <w:t>支出（类）</w:t>
      </w:r>
      <w:r>
        <w:rPr>
          <w:rFonts w:ascii="TimesNewRoman" w:eastAsia="仿宋_GB2312" w:cs="TimesNewRoman" w:hAnsi="TimesNewRoman" w:hint="eastAsia"/>
          <w:kern w:val="0"/>
          <w:sz w:val="32"/>
          <w:szCs w:val="32"/>
          <w:shd w:val="clear" w:color="auto" w:fill="auto"/>
          <w:lang w:eastAsia="zh-CN"/>
        </w:rPr>
        <w:t>行政事业单位医疗</w:t>
      </w:r>
      <w:r>
        <w:rPr>
          <w:rFonts w:ascii="TimesNewRoman" w:eastAsia="仿宋_GB2312" w:cs="TimesNewRoman" w:hAnsi="TimesNewRoman" w:hint="eastAsia"/>
          <w:kern w:val="0"/>
          <w:sz w:val="32"/>
          <w:szCs w:val="32"/>
          <w:shd w:val="clear" w:color="auto" w:fill="auto"/>
        </w:rPr>
        <w:t>（款）</w:t>
      </w:r>
      <w:r>
        <w:rPr>
          <w:rFonts w:ascii="TimesNewRoman" w:eastAsia="仿宋_GB2312" w:cs="TimesNewRoman" w:hAnsi="TimesNewRoman" w:hint="eastAsia"/>
          <w:bCs/>
          <w:kern w:val="0"/>
          <w:sz w:val="32"/>
          <w:szCs w:val="32"/>
          <w:shd w:val="clear" w:color="auto" w:fill="auto"/>
          <w:lang w:val="en-US" w:eastAsia="zh-CN" w:bidi="ar-SA"/>
        </w:rPr>
        <w:t>事业单位医疗（项）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年预算10.05万元，比202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年预算增加0.25万元，增长2.5%，原因主要是缴费基数调整。</w:t>
      </w:r>
    </w:p>
    <w:p>
      <w:pPr>
        <w:ind w:firstLineChars="200" w:firstLine="640"/>
        <w:rPr>
          <w:rFonts w:ascii="TimesNewRoman" w:eastAsia="仿宋_GB2312" w:cs="TimesNewRoman" w:hAnsi="TimesNewRoman" w:hint="eastAsia"/>
          <w:kern w:val="0"/>
          <w:sz w:val="32"/>
          <w:szCs w:val="32"/>
          <w:shd w:val="clear" w:color="auto" w:fill="auto"/>
          <w:lang w:val="en-US" w:eastAsia="zh-CN" w:bidi="ar-SA"/>
        </w:rPr>
      </w:pPr>
      <w:r>
        <w:rPr>
          <w:rFonts w:ascii="TimesNewRoman" w:eastAsia="仿宋_GB2312" w:cs="TimesNewRoman" w:hAnsi="TimesNewRoman" w:hint="eastAsia"/>
          <w:bCs/>
          <w:kern w:val="0"/>
          <w:sz w:val="32"/>
          <w:szCs w:val="32"/>
          <w:shd w:val="clear" w:color="auto" w:fill="auto"/>
          <w:lang w:val="en-US" w:eastAsia="zh-CN" w:bidi="ar-SA"/>
        </w:rPr>
        <w:t>9.</w:t>
      </w:r>
      <w:r>
        <w:rPr>
          <w:rFonts w:ascii="TimesNewRoman" w:eastAsia="仿宋_GB2312" w:cs="TimesNewRoman" w:hAnsi="TimesNewRoman" w:hint="eastAsia"/>
          <w:kern w:val="0"/>
          <w:sz w:val="32"/>
          <w:szCs w:val="32"/>
          <w:shd w:val="clear" w:color="auto" w:fill="auto"/>
          <w:lang w:eastAsia="zh-CN"/>
        </w:rPr>
        <w:t>卫生健康</w:t>
      </w:r>
      <w:r>
        <w:rPr>
          <w:rFonts w:ascii="TimesNewRoman" w:eastAsia="仿宋_GB2312" w:cs="TimesNewRoman" w:hAnsi="TimesNewRoman" w:hint="eastAsia"/>
          <w:kern w:val="0"/>
          <w:sz w:val="32"/>
          <w:szCs w:val="32"/>
          <w:shd w:val="clear" w:color="auto" w:fill="auto"/>
        </w:rPr>
        <w:t>支出（类）</w:t>
      </w:r>
      <w:r>
        <w:rPr>
          <w:rFonts w:ascii="TimesNewRoman" w:eastAsia="仿宋_GB2312" w:cs="TimesNewRoman" w:hAnsi="TimesNewRoman" w:hint="eastAsia"/>
          <w:kern w:val="0"/>
          <w:sz w:val="32"/>
          <w:szCs w:val="32"/>
          <w:shd w:val="clear" w:color="auto" w:fill="auto"/>
          <w:lang w:eastAsia="zh-CN"/>
        </w:rPr>
        <w:t>行政事业单位医疗</w:t>
      </w:r>
      <w:r>
        <w:rPr>
          <w:rFonts w:ascii="TimesNewRoman" w:eastAsia="仿宋_GB2312" w:cs="TimesNewRoman" w:hAnsi="TimesNewRoman" w:hint="eastAsia"/>
          <w:kern w:val="0"/>
          <w:sz w:val="32"/>
          <w:szCs w:val="32"/>
          <w:shd w:val="clear" w:color="auto" w:fill="auto"/>
        </w:rPr>
        <w:t>（款）</w:t>
      </w:r>
      <w:r>
        <w:rPr>
          <w:rFonts w:ascii="TimesNewRoman" w:eastAsia="仿宋_GB2312" w:cs="TimesNewRoman" w:hAnsi="TimesNewRoman" w:hint="eastAsia"/>
          <w:bCs/>
          <w:kern w:val="0"/>
          <w:sz w:val="32"/>
          <w:szCs w:val="32"/>
          <w:shd w:val="clear" w:color="auto" w:fill="auto"/>
          <w:lang w:val="en-US" w:eastAsia="zh-CN" w:bidi="ar-SA"/>
        </w:rPr>
        <w:t>公务员医疗补助（项）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年预算4.20万元，比202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年预算减少0.11万元，下降2.57%，原因主要是缴费基数调整。</w:t>
      </w:r>
    </w:p>
    <w:p>
      <w:pPr>
        <w:ind w:firstLineChars="200" w:firstLine="640"/>
        <w:rPr>
          <w:rFonts w:ascii="TimesNewRoman" w:eastAsia="仿宋_GB2312" w:cs="TimesNewRoman" w:hAnsi="TimesNewRoman" w:hint="eastAsia"/>
          <w:kern w:val="0"/>
          <w:sz w:val="32"/>
          <w:szCs w:val="32"/>
          <w:shd w:val="clear" w:color="auto" w:fill="auto"/>
          <w:lang w:val="en-US" w:eastAsia="zh-CN" w:bidi="ar-SA"/>
        </w:rPr>
      </w:pPr>
      <w:r>
        <w:rPr>
          <w:rFonts w:ascii="TimesNewRoman" w:eastAsia="仿宋_GB2312" w:cs="TimesNewRoman" w:hAnsi="TimesNewRoman" w:hint="eastAsia"/>
          <w:bCs/>
          <w:kern w:val="0"/>
          <w:sz w:val="32"/>
          <w:szCs w:val="32"/>
          <w:shd w:val="clear" w:color="auto" w:fill="auto"/>
          <w:lang w:val="en-US" w:eastAsia="zh-CN" w:bidi="ar-SA"/>
        </w:rPr>
        <w:t>10</w:t>
      </w:r>
      <w:r>
        <w:rPr>
          <w:rFonts w:ascii="TimesNewRoman" w:eastAsia="仿宋_GB2312" w:cs="TimesNewRoman" w:hAnsi="TimesNewRoman" w:hint="eastAsia"/>
          <w:kern w:val="0"/>
          <w:sz w:val="32"/>
          <w:szCs w:val="32"/>
          <w:shd w:val="clear" w:color="auto" w:fill="auto"/>
        </w:rPr>
        <w:t>住房保障支出（类）住房改革支出（款）</w:t>
      </w:r>
      <w:r>
        <w:rPr>
          <w:rFonts w:ascii="TimesNewRoman" w:eastAsia="仿宋_GB2312" w:cs="TimesNewRoman" w:hAnsi="TimesNewRoman" w:hint="eastAsia"/>
          <w:bCs/>
          <w:kern w:val="0"/>
          <w:sz w:val="32"/>
          <w:szCs w:val="32"/>
          <w:shd w:val="clear" w:color="auto" w:fill="auto"/>
          <w:lang w:val="en-US" w:eastAsia="zh-CN" w:bidi="ar-SA"/>
        </w:rPr>
        <w:t>住房公积金（项）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年预算26.16万元，比202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年预算增加1.53万元，增长6.20%，原因主要是缴费基数调整。</w:t>
      </w:r>
    </w:p>
    <w:p>
      <w:pPr>
        <w:ind w:firstLineChars="200" w:firstLine="640"/>
        <w:rPr>
          <w:rFonts w:ascii="TimesNewRoman" w:eastAsia="仿宋_GB2312" w:cs="TimesNewRoman" w:hAnsi="TimesNewRoman"/>
          <w:kern w:val="0"/>
          <w:sz w:val="32"/>
          <w:szCs w:val="32"/>
          <w:shd w:val="clear" w:color="auto" w:fill="auto"/>
          <w:lang w:val="en-US" w:eastAsia="zh-CN" w:bidi="ar-SA"/>
        </w:rPr>
      </w:pPr>
      <w:r>
        <w:rPr>
          <w:rFonts w:ascii="TimesNewRoman" w:eastAsia="仿宋_GB2312" w:cs="TimesNewRoman" w:hAnsi="TimesNewRoman" w:hint="eastAsia"/>
          <w:bCs/>
          <w:kern w:val="0"/>
          <w:sz w:val="32"/>
          <w:szCs w:val="32"/>
          <w:shd w:val="clear" w:color="auto" w:fill="auto"/>
          <w:lang w:val="en-US" w:eastAsia="zh-CN" w:bidi="ar-SA"/>
        </w:rPr>
        <w:t>11.</w:t>
      </w:r>
      <w:r>
        <w:rPr>
          <w:rFonts w:ascii="TimesNewRoman" w:eastAsia="仿宋_GB2312" w:cs="TimesNewRoman" w:hAnsi="TimesNewRoman" w:hint="eastAsia"/>
          <w:kern w:val="0"/>
          <w:sz w:val="32"/>
          <w:szCs w:val="32"/>
          <w:shd w:val="clear" w:color="auto" w:fill="auto"/>
        </w:rPr>
        <w:t>住房保障支出（类）住房改革支出（款）</w:t>
      </w:r>
      <w:r>
        <w:rPr>
          <w:rFonts w:ascii="TimesNewRoman" w:eastAsia="仿宋_GB2312" w:cs="TimesNewRoman" w:hAnsi="TimesNewRoman" w:hint="eastAsia"/>
          <w:bCs/>
          <w:kern w:val="0"/>
          <w:sz w:val="32"/>
          <w:szCs w:val="32"/>
          <w:shd w:val="clear" w:color="auto" w:fill="auto"/>
          <w:lang w:val="en-US" w:eastAsia="zh-CN" w:bidi="ar-SA"/>
        </w:rPr>
        <w:t>提租补贴（项）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年预算6.54万元，比202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年预算增加6.54万元，原因主要是新增提租补贴发放。</w:t>
      </w:r>
    </w:p>
    <w:p>
      <w:pPr>
        <w:ind w:firstLineChars="200" w:firstLine="640"/>
        <w:rPr>
          <w:rFonts w:ascii="TimesNewRoman" w:eastAsia="仿宋_GB2312" w:cs="TimesNewRoman" w:hAnsi="TimesNewRoman" w:hint="eastAsia"/>
          <w:kern w:val="0"/>
          <w:sz w:val="32"/>
          <w:szCs w:val="32"/>
          <w:shd w:val="clear" w:color="auto" w:fill="auto"/>
          <w:lang w:val="en-US" w:eastAsia="zh-CN" w:bidi="ar-SA"/>
        </w:rPr>
      </w:pPr>
      <w:r>
        <w:rPr>
          <w:rFonts w:ascii="TimesNewRoman" w:eastAsia="仿宋_GB2312" w:cs="TimesNewRoman" w:hAnsi="TimesNewRoman" w:hint="eastAsia"/>
          <w:bCs/>
          <w:kern w:val="0"/>
          <w:sz w:val="32"/>
          <w:szCs w:val="32"/>
          <w:shd w:val="clear" w:color="auto" w:fill="auto"/>
          <w:lang w:val="en-US" w:eastAsia="zh-CN" w:bidi="ar-SA"/>
        </w:rPr>
        <w:t>12.</w:t>
      </w:r>
      <w:r>
        <w:rPr>
          <w:rFonts w:ascii="TimesNewRoman" w:eastAsia="仿宋_GB2312" w:cs="TimesNewRoman" w:hAnsi="TimesNewRoman" w:hint="eastAsia"/>
          <w:kern w:val="0"/>
          <w:sz w:val="32"/>
          <w:szCs w:val="32"/>
          <w:shd w:val="clear" w:color="auto" w:fill="auto"/>
        </w:rPr>
        <w:t>住房保障支出（类）住房改革支出（款）</w:t>
      </w:r>
      <w:r>
        <w:rPr>
          <w:rFonts w:ascii="TimesNewRoman" w:eastAsia="仿宋_GB2312" w:cs="TimesNewRoman" w:hAnsi="TimesNewRoman" w:hint="eastAsia"/>
          <w:bCs/>
          <w:kern w:val="0"/>
          <w:sz w:val="32"/>
          <w:szCs w:val="32"/>
          <w:shd w:val="clear" w:color="auto" w:fill="auto"/>
          <w:lang w:val="en-US" w:eastAsia="zh-CN" w:bidi="ar-SA"/>
        </w:rPr>
        <w:t>购房补贴（项）</w:t>
      </w:r>
      <w:r>
        <w:rPr>
          <w:rFonts w:ascii="TimesNewRoman" w:eastAsia="仿宋_GB2312" w:cs="TimesNewRoman" w:hAnsi="TimesNewRoman" w:hint="eastAsia"/>
          <w:kern w:val="0"/>
          <w:sz w:val="32"/>
          <w:szCs w:val="32"/>
          <w:shd w:val="clear" w:color="auto" w:fill="auto"/>
          <w:lang w:val="en-US" w:eastAsia="zh-CN" w:bidi="ar-SA"/>
        </w:rPr>
        <w:t>202</w:t>
      </w:r>
      <w:r>
        <w:rPr>
          <w:rFonts w:ascii="TimesNewRoman" w:eastAsia="仿宋_GB2312" w:cs="TimesNewRoman" w:hAnsi="TimesNewRoman"/>
          <w:kern w:val="0"/>
          <w:sz w:val="32"/>
          <w:szCs w:val="32"/>
          <w:shd w:val="clear" w:color="auto" w:fill="auto"/>
          <w:lang w:val="en-US" w:eastAsia="zh-CN" w:bidi="ar-SA"/>
        </w:rPr>
        <w:t>4</w:t>
      </w:r>
      <w:r>
        <w:rPr>
          <w:rFonts w:ascii="TimesNewRoman" w:eastAsia="仿宋_GB2312" w:cs="TimesNewRoman" w:hAnsi="TimesNewRoman" w:hint="eastAsia"/>
          <w:kern w:val="0"/>
          <w:sz w:val="32"/>
          <w:szCs w:val="32"/>
          <w:shd w:val="clear" w:color="auto" w:fill="auto"/>
          <w:lang w:val="en-US" w:eastAsia="zh-CN" w:bidi="ar-SA"/>
        </w:rPr>
        <w:t>年预算10.90万元，比202</w:t>
      </w:r>
      <w:r>
        <w:rPr>
          <w:rFonts w:ascii="TimesNewRoman" w:eastAsia="仿宋_GB2312" w:cs="TimesNewRoman" w:hAnsi="TimesNewRoman"/>
          <w:kern w:val="0"/>
          <w:sz w:val="32"/>
          <w:szCs w:val="32"/>
          <w:shd w:val="clear" w:color="auto" w:fill="auto"/>
          <w:lang w:val="en-US" w:eastAsia="zh-CN" w:bidi="ar-SA"/>
        </w:rPr>
        <w:t>3</w:t>
      </w:r>
      <w:r>
        <w:rPr>
          <w:rFonts w:ascii="TimesNewRoman" w:eastAsia="仿宋_GB2312" w:cs="TimesNewRoman" w:hAnsi="TimesNewRoman" w:hint="eastAsia"/>
          <w:kern w:val="0"/>
          <w:sz w:val="32"/>
          <w:szCs w:val="32"/>
          <w:shd w:val="clear" w:color="auto" w:fill="auto"/>
          <w:lang w:val="en-US" w:eastAsia="zh-CN" w:bidi="ar-SA"/>
        </w:rPr>
        <w:t>年预算增加0.64万元，增长6.20%，原因主要是人员变动。</w:t>
      </w:r>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六、关于2024年一般公共预算基本支出表的说明</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sz w:val="32"/>
          <w:szCs w:val="32"/>
        </w:rPr>
        <w:t>2</w:t>
      </w:r>
      <w:r>
        <w:rPr>
          <w:rFonts w:ascii="TimesNewRoman" w:eastAsia="仿宋_GB2312" w:cs="TimesNewRoman" w:hAnsi="TimesNewRoman" w:hint="eastAsia"/>
          <w:kern w:val="0"/>
          <w:sz w:val="32"/>
          <w:szCs w:val="32"/>
        </w:rPr>
        <w:t>024年一般公共预算基本支出</w:t>
      </w:r>
      <w:r>
        <w:rPr>
          <w:rFonts w:ascii="TimesNewRoman" w:eastAsia="仿宋_GB2312" w:cs="TimesNewRoman" w:hAnsi="TimesNewRoman" w:hint="eastAsia"/>
          <w:kern w:val="0"/>
          <w:sz w:val="32"/>
          <w:szCs w:val="32"/>
          <w:lang w:val="en-US" w:eastAsia="zh-CN"/>
        </w:rPr>
        <w:t>295.80</w:t>
      </w:r>
      <w:r>
        <w:rPr>
          <w:rFonts w:ascii="TimesNewRoman" w:eastAsia="仿宋_GB2312" w:cs="TimesNewRoman" w:hAnsi="TimesNewRoman" w:hint="eastAsia"/>
          <w:kern w:val="0"/>
          <w:sz w:val="32"/>
          <w:szCs w:val="32"/>
        </w:rPr>
        <w:t>万元，其中，人员经费</w:t>
      </w:r>
      <w:r>
        <w:rPr>
          <w:rFonts w:ascii="TimesNewRoman" w:eastAsia="仿宋_GB2312" w:cs="TimesNewRoman" w:hAnsi="TimesNewRoman" w:hint="eastAsia"/>
          <w:kern w:val="0"/>
          <w:sz w:val="32"/>
          <w:szCs w:val="32"/>
          <w:lang w:val="en-US" w:eastAsia="zh-CN"/>
        </w:rPr>
        <w:t>276.60</w:t>
      </w:r>
      <w:r>
        <w:rPr>
          <w:rFonts w:ascii="TimesNewRoman" w:eastAsia="仿宋_GB2312" w:cs="TimesNewRoman" w:hAnsi="TimesNewRoman" w:hint="eastAsia"/>
          <w:kern w:val="0"/>
          <w:sz w:val="32"/>
          <w:szCs w:val="32"/>
        </w:rPr>
        <w:t>万元，公用经费</w:t>
      </w:r>
      <w:r>
        <w:rPr>
          <w:rFonts w:ascii="TimesNewRoman" w:eastAsia="仿宋_GB2312" w:cs="TimesNewRoman" w:hAnsi="TimesNewRoman" w:hint="eastAsia"/>
          <w:kern w:val="0"/>
          <w:sz w:val="32"/>
          <w:szCs w:val="32"/>
          <w:lang w:val="en-US" w:eastAsia="zh-CN"/>
        </w:rPr>
        <w:t>19.20</w:t>
      </w:r>
      <w:r>
        <w:rPr>
          <w:rFonts w:ascii="TimesNewRoman" w:eastAsia="仿宋_GB2312" w:cs="TimesNewRoman" w:hAnsi="TimesNewRoman" w:hint="eastAsia"/>
          <w:kern w:val="0"/>
          <w:sz w:val="32"/>
          <w:szCs w:val="32"/>
        </w:rPr>
        <w:t>万元。</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b/>
          <w:kern w:val="0"/>
          <w:sz w:val="32"/>
          <w:szCs w:val="32"/>
        </w:rPr>
        <w:t>（一）人员经费</w:t>
      </w:r>
      <w:r>
        <w:rPr>
          <w:rFonts w:ascii="TimesNewRoman" w:eastAsia="仿宋_GB2312" w:cs="TimesNewRoman" w:hAnsi="TimesNewRoman" w:hint="eastAsia"/>
          <w:kern w:val="0"/>
          <w:sz w:val="32"/>
          <w:szCs w:val="32"/>
          <w:lang w:val="en-US" w:eastAsia="zh-CN"/>
        </w:rPr>
        <w:t>276.60</w:t>
      </w:r>
      <w:r>
        <w:rPr>
          <w:rFonts w:ascii="TimesNewRoman" w:eastAsia="仿宋_GB2312" w:cs="TimesNewRoman" w:hAnsi="TimesNewRoman" w:hint="eastAsia"/>
          <w:b/>
          <w:kern w:val="0"/>
          <w:sz w:val="32"/>
          <w:szCs w:val="32"/>
        </w:rPr>
        <w:t>万元，</w:t>
      </w:r>
      <w:r>
        <w:rPr>
          <w:rFonts w:ascii="TimesNewRoman" w:eastAsia="仿宋_GB2312" w:cs="TimesNewRoman" w:hAnsi="TimesNewRoman" w:hint="eastAsia"/>
          <w:kern w:val="0"/>
          <w:sz w:val="32"/>
          <w:szCs w:val="32"/>
        </w:rPr>
        <w:t>主要包括:基本工资、津贴补贴、奖金、伙食补助费、绩效工资、机关事业单位基本养老保险费、职业年金缴费、职工基本医疗保险缴费、公务员医疗补助缴费、其他社会保障缴费、工会经费、福利费、住房公积金、医疗费、其他工资福利支出、退休费、生活补助、医疗费补助、对其他个人和家庭的补助支出</w:t>
      </w:r>
      <w:r>
        <w:rPr>
          <w:rFonts w:ascii="TimesNewRoman" w:eastAsia="仿宋_GB2312" w:cs="TimesNewRoman" w:hAnsi="TimesNewRoman"/>
          <w:kern w:val="0"/>
          <w:sz w:val="32"/>
          <w:szCs w:val="32"/>
        </w:rPr>
        <w:t>等</w:t>
      </w:r>
      <w:r>
        <w:rPr>
          <w:rFonts w:ascii="TimesNewRoman" w:eastAsia="仿宋_GB2312" w:cs="TimesNewRoman" w:hAnsi="TimesNewRoman" w:hint="eastAsia"/>
          <w:kern w:val="0"/>
          <w:sz w:val="32"/>
          <w:szCs w:val="32"/>
        </w:rPr>
        <w:t>。</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b/>
          <w:kern w:val="0"/>
          <w:sz w:val="32"/>
          <w:szCs w:val="32"/>
        </w:rPr>
        <w:t>（二）公用经费</w:t>
      </w:r>
      <w:r>
        <w:rPr>
          <w:rFonts w:ascii="TimesNewRoman" w:eastAsia="仿宋_GB2312" w:cs="TimesNewRoman" w:hAnsi="TimesNewRoman" w:hint="eastAsia"/>
          <w:kern w:val="0"/>
          <w:sz w:val="32"/>
          <w:szCs w:val="32"/>
          <w:lang w:val="en-US" w:eastAsia="zh-CN"/>
        </w:rPr>
        <w:t>19.20</w:t>
      </w:r>
      <w:r>
        <w:rPr>
          <w:rFonts w:ascii="TimesNewRoman" w:eastAsia="仿宋_GB2312" w:cs="TimesNewRoman" w:hAnsi="TimesNewRoman" w:hint="eastAsia"/>
          <w:b/>
          <w:kern w:val="0"/>
          <w:sz w:val="32"/>
          <w:szCs w:val="32"/>
        </w:rPr>
        <w:t>万元，</w:t>
      </w:r>
      <w:r>
        <w:rPr>
          <w:rFonts w:ascii="TimesNewRoman" w:eastAsia="仿宋_GB2312" w:cs="TimesNewRoman" w:hAnsi="TimesNewRoman" w:hint="eastAsia"/>
          <w:kern w:val="0"/>
          <w:sz w:val="32"/>
          <w:szCs w:val="32"/>
        </w:rPr>
        <w:t>主要包括：办公费、印刷费、水费、电费、邮电费、物业管理费、差旅费、维修（护）费、租赁费、公务接待费、劳务费、委托业务费、公务用车运行维护费、其他商品服务支出等。</w:t>
      </w:r>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七、关于2024年政府性基金预算支出表的说明</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2024年没有政府性基金预算拨款收入，也没有使用政府性基金预算拨款安排的支出。</w:t>
      </w:r>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八、关于2024年国有资本经营预算支出表的说明</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2024年没有国有资本经营预算拨款收入，也没有使用国有资本经营预算拨款安排的支出。</w:t>
      </w:r>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九、关于2024年项目支出表的说明</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2024年预算共安排项目支出</w:t>
      </w:r>
      <w:r>
        <w:rPr>
          <w:rFonts w:ascii="TimesNewRoman" w:eastAsia="仿宋_GB2312" w:cs="TimesNewRoman" w:hAnsi="TimesNewRoman" w:hint="eastAsia"/>
          <w:kern w:val="0"/>
          <w:sz w:val="32"/>
          <w:szCs w:val="32"/>
          <w:lang w:val="en-US" w:eastAsia="zh-CN"/>
        </w:rPr>
        <w:t>31.6</w:t>
      </w:r>
      <w:r>
        <w:rPr>
          <w:rFonts w:ascii="TimesNewRoman" w:eastAsia="仿宋_GB2312" w:cs="TimesNewRoman" w:hAnsi="TimesNewRoman" w:hint="eastAsia"/>
          <w:kern w:val="0"/>
          <w:sz w:val="32"/>
          <w:szCs w:val="32"/>
        </w:rPr>
        <w:t>万元，</w:t>
      </w:r>
      <w:r>
        <w:rPr>
          <w:rFonts w:ascii="TimesNewRoman" w:eastAsia="仿宋_GB2312" w:cs="TimesNewRoman" w:hAnsi="TimesNewRoman" w:hint="eastAsia"/>
          <w:kern w:val="0"/>
          <w:sz w:val="32"/>
          <w:szCs w:val="32"/>
          <w:lang w:val="en-US" w:eastAsia="zh-CN"/>
        </w:rPr>
        <w:t>与</w:t>
      </w:r>
      <w:r>
        <w:rPr>
          <w:rFonts w:ascii="TimesNewRoman" w:eastAsia="仿宋_GB2312" w:cs="TimesNewRoman" w:hAnsi="TimesNewRoman" w:hint="eastAsia"/>
          <w:kern w:val="0"/>
          <w:sz w:val="32"/>
          <w:szCs w:val="32"/>
        </w:rPr>
        <w:t>2023年预算</w:t>
      </w:r>
      <w:r>
        <w:rPr>
          <w:rFonts w:ascii="TimesNewRoman" w:eastAsia="仿宋_GB2312" w:cs="TimesNewRoman" w:hAnsi="TimesNewRoman" w:hint="eastAsia"/>
          <w:kern w:val="0"/>
          <w:sz w:val="32"/>
          <w:szCs w:val="32"/>
          <w:lang w:val="en-US" w:eastAsia="zh-CN"/>
        </w:rPr>
        <w:t>相比无变化。</w:t>
      </w:r>
      <w:r>
        <w:rPr>
          <w:rFonts w:ascii="TimesNewRoman" w:eastAsia="仿宋_GB2312" w:cs="TimesNewRoman" w:hAnsi="TimesNewRoman" w:hint="eastAsia"/>
          <w:kern w:val="0"/>
          <w:sz w:val="32"/>
          <w:szCs w:val="32"/>
        </w:rPr>
        <w:t>主要包括：本年财政拨款安排</w:t>
      </w:r>
      <w:r>
        <w:rPr>
          <w:rFonts w:ascii="TimesNewRoman" w:eastAsia="仿宋_GB2312" w:cs="TimesNewRoman" w:hAnsi="TimesNewRoman" w:hint="eastAsia"/>
          <w:kern w:val="0"/>
          <w:sz w:val="32"/>
          <w:szCs w:val="32"/>
          <w:lang w:val="en-US" w:eastAsia="zh-CN"/>
        </w:rPr>
        <w:t>31.6</w:t>
      </w:r>
      <w:r>
        <w:rPr>
          <w:rFonts w:ascii="TimesNewRoman" w:eastAsia="仿宋_GB2312" w:cs="TimesNewRoman" w:hAnsi="TimesNewRoman" w:hint="eastAsia"/>
          <w:kern w:val="0"/>
          <w:sz w:val="32"/>
          <w:szCs w:val="32"/>
        </w:rPr>
        <w:t>万元（其中，一般公共预算拨款安排</w:t>
      </w:r>
      <w:r>
        <w:rPr>
          <w:rFonts w:ascii="TimesNewRoman" w:eastAsia="仿宋_GB2312" w:cs="TimesNewRoman" w:hAnsi="TimesNewRoman" w:hint="eastAsia"/>
          <w:kern w:val="0"/>
          <w:sz w:val="32"/>
          <w:szCs w:val="32"/>
          <w:lang w:val="en-US" w:eastAsia="zh-CN"/>
        </w:rPr>
        <w:t>31.6</w:t>
      </w:r>
      <w:r>
        <w:rPr>
          <w:rFonts w:ascii="TimesNewRoman" w:eastAsia="仿宋_GB2312" w:cs="TimesNewRoman" w:hAnsi="TimesNewRoman" w:hint="eastAsia"/>
          <w:kern w:val="0"/>
          <w:sz w:val="32"/>
          <w:szCs w:val="32"/>
        </w:rPr>
        <w:t>万元，政府性基金预算拨款安排</w:t>
      </w:r>
      <w:r>
        <w:rPr>
          <w:rFonts w:ascii="TimesNewRoman" w:eastAsia="仿宋_GB2312" w:cs="TimesNewRoman" w:hAnsi="TimesNewRoman"/>
          <w:kern w:val="0"/>
          <w:sz w:val="32"/>
          <w:szCs w:val="32"/>
        </w:rPr>
        <w:t>0</w:t>
      </w:r>
      <w:r>
        <w:rPr>
          <w:rFonts w:ascii="TimesNewRoman" w:eastAsia="仿宋_GB2312" w:cs="TimesNewRoman" w:hAnsi="TimesNewRoman" w:hint="eastAsia"/>
          <w:kern w:val="0"/>
          <w:sz w:val="32"/>
          <w:szCs w:val="32"/>
        </w:rPr>
        <w:t>万元），财政专户管理资金安排</w:t>
      </w:r>
      <w:r>
        <w:rPr>
          <w:rFonts w:ascii="TimesNewRoman" w:eastAsia="仿宋_GB2312" w:cs="TimesNewRoman" w:hAnsi="TimesNewRoman"/>
          <w:kern w:val="0"/>
          <w:sz w:val="32"/>
          <w:szCs w:val="32"/>
        </w:rPr>
        <w:t>0</w:t>
      </w:r>
      <w:r>
        <w:rPr>
          <w:rFonts w:ascii="TimesNewRoman" w:eastAsia="仿宋_GB2312" w:cs="TimesNewRoman" w:hAnsi="TimesNewRoman" w:hint="eastAsia"/>
          <w:kern w:val="0"/>
          <w:sz w:val="32"/>
          <w:szCs w:val="32"/>
        </w:rPr>
        <w:t>万元。</w:t>
      </w:r>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十、关于2024年政府采购支出表的说明</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2024年没有使用一般公共预算拨款、政府性基金预算拨款、国有资本经营预算拨款、财政专户管理资金和单位资金安排的政府采购支出。</w:t>
      </w:r>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十一、关于2024年政府购买服务支出表的说明</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2024年没有安排政府购买服务支出。</w:t>
      </w:r>
    </w:p>
    <w:p>
      <w:pPr>
        <w:pStyle w:val="19"/>
        <w:adjustRightInd w:val="0"/>
        <w:snapToGrid w:val="0"/>
        <w:spacing w:line="560" w:lineRule="exact"/>
        <w:ind w:firstLineChars="196" w:firstLine="627"/>
        <w:rPr>
          <w:rFonts w:ascii="TimesNewRoman" w:eastAsia="黑体" w:cs="TimesNewRoman" w:hAnsi="TimesNewRoman"/>
          <w:bCs/>
          <w:sz w:val="32"/>
          <w:szCs w:val="32"/>
        </w:rPr>
      </w:pPr>
      <w:r>
        <w:rPr>
          <w:rFonts w:ascii="TimesNewRoman" w:eastAsia="黑体" w:cs="TimesNewRoman" w:hAnsi="TimesNewRoman" w:hint="eastAsia"/>
          <w:bCs/>
          <w:sz w:val="32"/>
          <w:szCs w:val="32"/>
        </w:rPr>
        <w:t>十二、其他重要事项情况说明</w:t>
      </w:r>
    </w:p>
    <w:p>
      <w:pPr>
        <w:adjustRightInd w:val="0"/>
        <w:snapToGrid w:val="0"/>
        <w:spacing w:line="580" w:lineRule="exact"/>
        <w:ind w:firstLineChars="200" w:firstLine="640"/>
        <w:rPr>
          <w:rFonts w:ascii="TimesNewRoman" w:eastAsia="仿宋_GB2312" w:cs="TimesNewRoman" w:hAnsi="TimesNewRoman"/>
          <w:b/>
          <w:sz w:val="32"/>
          <w:szCs w:val="32"/>
        </w:rPr>
      </w:pPr>
      <w:r>
        <w:rPr>
          <w:rFonts w:ascii="TimesNewRoman" w:eastAsia="仿宋_GB2312" w:cs="TimesNewRoman" w:hAnsi="TimesNewRoman" w:hint="eastAsia"/>
          <w:b/>
          <w:sz w:val="32"/>
          <w:szCs w:val="32"/>
        </w:rPr>
        <w:t>（一）项目及绩效目标情况。</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kern w:val="0"/>
          <w:sz w:val="32"/>
          <w:szCs w:val="32"/>
          <w:lang w:val="en-US" w:eastAsia="zh-CN"/>
        </w:rPr>
        <w:t>1</w:t>
      </w:r>
      <w:r>
        <w:rPr>
          <w:rFonts w:ascii="TimesNewRoman" w:eastAsia="仿宋_GB2312" w:cs="TimesNewRoman" w:hAnsi="TimesNewRoman" w:hint="eastAsia"/>
          <w:kern w:val="0"/>
          <w:sz w:val="32"/>
          <w:szCs w:val="32"/>
        </w:rPr>
        <w:t>、“价格认定工作经费”项目。</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（1）项目概述。</w:t>
      </w:r>
      <w:r>
        <w:rPr>
          <w:rFonts w:ascii="TimesNewRoman" w:eastAsia="仿宋_GB2312" w:cs="TimesNewRoman" w:hAnsi="TimesNewRoman"/>
          <w:kern w:val="0"/>
          <w:sz w:val="32"/>
          <w:szCs w:val="32"/>
        </w:rPr>
        <w:t>涉案、涉税、涉纪价格认定工作，开展价格争议调解处理工作；推进信息化建设工作，推进价格认定价格采集点以及专家库建设工作。</w:t>
      </w:r>
    </w:p>
    <w:p>
      <w:pPr>
        <w:keepNext w:val="0"/>
        <w:keepLines w:val="0"/>
        <w:pageBreakBefore w:val="0"/>
        <w:widowControl w:val="0"/>
        <w:kinsoku/>
        <w:wordWrap/>
        <w:overflowPunct/>
        <w:topLinePunct w:val="0"/>
        <w:autoSpaceDE/>
        <w:autoSpaceDN/>
        <w:bidi w:val="0"/>
        <w:adjustRightInd/>
        <w:snapToGrid/>
        <w:spacing w:line="240" w:lineRule="auto"/>
        <w:ind w:firstLineChars="200" w:firstLine="640"/>
        <w:textAlignment w:val="auto"/>
        <w:rPr>
          <w:rFonts w:ascii="仿宋_GB2312" w:eastAsia="仿宋_GB2312" w:cs="仿宋_GB2312" w:hAnsi="仿宋_GB2312" w:hint="eastAsia"/>
          <w:sz w:val="32"/>
          <w:szCs w:val="32"/>
        </w:rPr>
      </w:pPr>
      <w:r>
        <w:rPr>
          <w:rFonts w:ascii="TimesNewRoman" w:eastAsia="仿宋_GB2312" w:cs="TimesNewRoman" w:hAnsi="TimesNewRoman" w:hint="eastAsia"/>
          <w:kern w:val="0"/>
          <w:sz w:val="32"/>
          <w:szCs w:val="32"/>
        </w:rPr>
        <w:t>（2）立项依据。</w:t>
      </w:r>
      <w:r>
        <w:rPr>
          <w:rFonts w:ascii="仿宋_GB2312" w:eastAsia="仿宋_GB2312" w:cs="仿宋_GB2312" w:hAnsi="仿宋_GB2312" w:hint="eastAsia"/>
          <w:sz w:val="32"/>
          <w:szCs w:val="32"/>
        </w:rPr>
        <w:t>根据《价格法》、《安徽省涉案财产估价管理条例》、国清[2000]3号文件和《价格认证中心工作管理办法》的要求。</w:t>
      </w:r>
    </w:p>
    <w:p>
      <w:pPr>
        <w:ind w:firstLineChars="200" w:firstLine="640"/>
        <w:rPr>
          <w:rFonts w:ascii="TimesNewRoman" w:eastAsia="仿宋_GB2312" w:cs="TimesNewRoman" w:hAnsi="TimesNewRoman"/>
          <w:kern w:val="0"/>
          <w:sz w:val="32"/>
          <w:szCs w:val="32"/>
          <w:lang w:val="en-US" w:eastAsia="zh-CN"/>
        </w:rPr>
      </w:pPr>
      <w:r>
        <w:rPr>
          <w:rFonts w:ascii="TimesNewRoman" w:eastAsia="仿宋_GB2312" w:cs="TimesNewRoman" w:hAnsi="TimesNewRoman" w:hint="eastAsia"/>
          <w:kern w:val="0"/>
          <w:sz w:val="32"/>
          <w:szCs w:val="32"/>
        </w:rPr>
        <w:t>（3）实施主体。淮北市</w:t>
      </w:r>
      <w:r>
        <w:rPr>
          <w:rFonts w:ascii="TimesNewRoman" w:eastAsia="仿宋_GB2312" w:cs="TimesNewRoman" w:hAnsi="TimesNewRoman" w:hint="eastAsia"/>
          <w:kern w:val="0"/>
          <w:sz w:val="32"/>
          <w:szCs w:val="32"/>
          <w:lang w:val="en-US" w:eastAsia="zh-CN"/>
        </w:rPr>
        <w:t>价格认证中心</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（4）起止时间。</w:t>
      </w:r>
      <w:r>
        <w:rPr>
          <w:rFonts w:ascii="仿宋_GB2312" w:eastAsia="仿宋_GB2312" w:cs="仿宋_GB2312" w:hAnsi="仿宋_GB2312" w:hint="eastAsia"/>
          <w:sz w:val="32"/>
          <w:szCs w:val="32"/>
          <w:lang w:val="en-US" w:eastAsia="zh-CN"/>
        </w:rPr>
        <w:t>1</w:t>
      </w:r>
      <w:r>
        <w:rPr>
          <w:rFonts w:ascii="仿宋_GB2312" w:eastAsia="仿宋_GB2312" w:cs="仿宋_GB2312" w:hAnsi="仿宋_GB2312" w:hint="eastAsia"/>
          <w:sz w:val="32"/>
          <w:szCs w:val="32"/>
        </w:rPr>
        <w:t>-12月</w:t>
      </w:r>
    </w:p>
    <w:p>
      <w:pPr>
        <w:keepNext w:val="0"/>
        <w:keepLines w:val="0"/>
        <w:pageBreakBefore w:val="0"/>
        <w:widowControl w:val="0"/>
        <w:kinsoku/>
        <w:wordWrap/>
        <w:overflowPunct/>
        <w:topLinePunct w:val="0"/>
        <w:autoSpaceDE/>
        <w:autoSpaceDN/>
        <w:bidi w:val="0"/>
        <w:adjustRightInd/>
        <w:snapToGrid/>
        <w:spacing w:line="240" w:lineRule="auto"/>
        <w:ind w:firstLineChars="200" w:firstLine="640"/>
        <w:textAlignment w:val="auto"/>
        <w:rPr>
          <w:rFonts w:ascii="仿宋_GB2312" w:eastAsia="仿宋_GB2312" w:cs="仿宋_GB2312" w:hAnsi="仿宋_GB2312" w:hint="eastAsia"/>
          <w:sz w:val="32"/>
          <w:szCs w:val="32"/>
        </w:rPr>
      </w:pPr>
      <w:r>
        <w:rPr>
          <w:rFonts w:ascii="TimesNewRoman" w:eastAsia="仿宋_GB2312" w:cs="TimesNewRoman" w:hAnsi="TimesNewRoman" w:hint="eastAsia"/>
          <w:kern w:val="0"/>
          <w:sz w:val="32"/>
          <w:szCs w:val="32"/>
        </w:rPr>
        <w:t>（5）项目内容。</w:t>
      </w:r>
      <w:r>
        <w:rPr>
          <w:rFonts w:ascii="仿宋_GB2312" w:eastAsia="仿宋_GB2312" w:cs="仿宋_GB2312" w:hAnsi="仿宋_GB2312" w:hint="eastAsia"/>
          <w:sz w:val="32"/>
          <w:szCs w:val="32"/>
        </w:rPr>
        <w:t>规范涉案财物鉴定行为，维护国家、公民、法人和其他组织的权益，保证司法和行政执法活动的正常进行。民事、行政、仲裁案件的价格鉴定、价格水平合理性认证 。</w:t>
      </w:r>
    </w:p>
    <w:p>
      <w:pPr>
        <w:ind w:firstLineChars="200" w:firstLine="640"/>
        <w:rPr>
          <w:rFonts w:ascii="TimesNewRoman" w:eastAsia="仿宋_GB2312" w:cs="TimesNewRoman" w:hAnsi="TimesNewRoman"/>
          <w:kern w:val="0"/>
          <w:sz w:val="32"/>
          <w:szCs w:val="32"/>
          <w:lang w:val="en-US" w:eastAsia="zh-CN"/>
        </w:rPr>
      </w:pPr>
      <w:r>
        <w:rPr>
          <w:rFonts w:ascii="TimesNewRoman" w:eastAsia="仿宋_GB2312" w:cs="TimesNewRoman" w:hAnsi="TimesNewRoman" w:hint="eastAsia"/>
          <w:kern w:val="0"/>
          <w:sz w:val="32"/>
          <w:szCs w:val="32"/>
        </w:rPr>
        <w:t>（6）年度预算安排。</w:t>
      </w:r>
      <w:r>
        <w:rPr>
          <w:rFonts w:ascii="TimesNewRoman" w:eastAsia="仿宋_GB2312" w:cs="TimesNewRoman" w:hAnsi="TimesNewRoman" w:hint="eastAsia"/>
          <w:kern w:val="0"/>
          <w:sz w:val="32"/>
          <w:szCs w:val="32"/>
          <w:lang w:val="en-US" w:eastAsia="zh-CN"/>
        </w:rPr>
        <w:t>31.6万元</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（7）绩效目标。</w:t>
      </w:r>
      <w:r>
        <w:rPr>
          <w:rFonts w:ascii="TimesNewRoman" w:eastAsia="仿宋_GB2312" w:cs="TimesNewRoman" w:hAnsi="TimesNewRoman"/>
          <w:kern w:val="0"/>
          <w:sz w:val="32"/>
          <w:szCs w:val="32"/>
        </w:rPr>
        <w:t>提供公共服务，维护公共利益，保障纪检监察、司法和行政工作的顺利进行。</w:t>
      </w:r>
    </w:p>
    <w:tbl>
      <w:tblPr>
        <w:jc w:val="left"/>
        <w:tblInd w:w="0" w:type="dxa"/>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438"/>
        <w:gridCol w:w="723"/>
        <w:gridCol w:w="282"/>
        <w:gridCol w:w="477"/>
        <w:gridCol w:w="2872"/>
        <w:gridCol w:w="136"/>
        <w:gridCol w:w="1712"/>
        <w:gridCol w:w="2380"/>
      </w:tblGrid>
      <w:tr>
        <w:trPr>
          <w:trHeight w:val="253"/>
        </w:trPr>
        <w:tc>
          <w:tcPr>
            <w:tcW w:w="9020" w:type="dxa"/>
            <w:gridSpan w:val="8"/>
            <w:tcBorders>
              <w:top w:val="nil"/>
              <w:left w:val="nil"/>
              <w:bottom w:val="nil"/>
              <w:right w:val="nil"/>
            </w:tcBorders>
            <w:vAlign w:val="center"/>
          </w:tcPr>
          <w:p>
            <w:pPr>
              <w:widowControl/>
              <w:jc w:val="center"/>
              <w:textAlignment w:val="center"/>
              <w:rPr>
                <w:rFonts w:ascii="宋体" w:cs="宋体"/>
                <w:b/>
                <w:bCs/>
                <w:szCs w:val="32"/>
              </w:rPr>
            </w:pPr>
            <w:r>
              <w:rPr>
                <w:rFonts w:ascii="宋体" w:eastAsia="宋体" w:cs="宋体" w:hAnsi="宋体" w:hint="eastAsia"/>
                <w:b/>
                <w:color w:val="000000"/>
                <w:kern w:val="0"/>
                <w:sz w:val="28"/>
                <w:szCs w:val="28"/>
              </w:rPr>
              <w:t>项目支出绩效目标表</w:t>
            </w:r>
          </w:p>
        </w:tc>
      </w:tr>
      <w:tr>
        <w:trPr>
          <w:trHeight w:val="270"/>
        </w:trPr>
        <w:tc>
          <w:tcPr>
            <w:tcW w:w="9020" w:type="dxa"/>
            <w:gridSpan w:val="8"/>
            <w:tcBorders>
              <w:top w:val="nil"/>
              <w:left w:val="nil"/>
              <w:right w:val="nil"/>
            </w:tcBorders>
            <w:vAlign w:val="center"/>
          </w:tcPr>
          <w:p>
            <w:pPr>
              <w:widowControl/>
              <w:jc w:val="center"/>
              <w:textAlignment w:val="center"/>
              <w:rPr>
                <w:rFonts w:ascii="宋体" w:cs="宋体"/>
                <w:sz w:val="20"/>
              </w:rPr>
            </w:pPr>
            <w:r>
              <w:rPr>
                <w:rFonts w:ascii="宋体" w:eastAsia="宋体" w:cs="宋体" w:hAnsi="宋体" w:hint="eastAsia"/>
                <w:color w:val="000000"/>
                <w:kern w:val="0"/>
                <w:sz w:val="20"/>
                <w:szCs w:val="20"/>
              </w:rPr>
              <w:t xml:space="preserve"> （2023年度）                                </w:t>
            </w:r>
          </w:p>
        </w:tc>
      </w:tr>
      <w:tr>
        <w:trPr>
          <w:trHeight w:val="330"/>
        </w:trPr>
        <w:tc>
          <w:tcPr>
            <w:tcW w:w="1443" w:type="dxa"/>
            <w:gridSpan w:val="3"/>
            <w:tcBorders>
              <w:tl2br w:val="nil"/>
              <w:tr2bl w:val="nil"/>
            </w:tcBorders>
            <w:vAlign w:val="center"/>
          </w:tcPr>
          <w:p>
            <w:pPr>
              <w:widowControl/>
              <w:jc w:val="center"/>
              <w:textAlignment w:val="center"/>
              <w:rPr>
                <w:rFonts w:ascii="宋体" w:cs="宋体"/>
                <w:sz w:val="20"/>
              </w:rPr>
            </w:pPr>
            <w:r>
              <w:rPr>
                <w:rFonts w:ascii="宋体" w:eastAsia="宋体" w:cs="宋体" w:hAnsi="宋体" w:hint="eastAsia"/>
                <w:color w:val="000000"/>
                <w:kern w:val="0"/>
                <w:sz w:val="20"/>
                <w:szCs w:val="20"/>
              </w:rPr>
              <w:t>项目名称</w:t>
            </w:r>
          </w:p>
        </w:tc>
        <w:tc>
          <w:tcPr>
            <w:tcW w:w="7577" w:type="dxa"/>
            <w:gridSpan w:val="5"/>
            <w:tcBorders>
              <w:tl2br w:val="nil"/>
              <w:tr2bl w:val="nil"/>
            </w:tcBorders>
            <w:vAlign w:val="center"/>
          </w:tcPr>
          <w:p>
            <w:pPr>
              <w:jc w:val="center"/>
              <w:rPr>
                <w:rFonts w:ascii="宋体" w:cs="宋体"/>
                <w:sz w:val="20"/>
              </w:rPr>
            </w:pPr>
            <w:r>
              <w:rPr>
                <w:rFonts w:ascii="宋体" w:cs="宋体"/>
                <w:sz w:val="20"/>
              </w:rPr>
              <w:t>价格认定工作经费</w:t>
            </w:r>
          </w:p>
        </w:tc>
      </w:tr>
      <w:tr>
        <w:trPr>
          <w:trHeight w:val="496"/>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ascii="宋体" w:eastAsia="宋体" w:cs="宋体" w:hAnsi="宋体" w:hint="eastAsia"/>
                <w:color w:val="000000"/>
                <w:kern w:val="0"/>
                <w:sz w:val="20"/>
                <w:szCs w:val="20"/>
              </w:rPr>
              <w:t xml:space="preserve">主管部门   </w:t>
            </w:r>
          </w:p>
        </w:tc>
        <w:tc>
          <w:tcPr>
            <w:tcW w:w="3349" w:type="dxa"/>
            <w:gridSpan w:val="2"/>
            <w:tcBorders>
              <w:tl2br w:val="nil"/>
              <w:tr2bl w:val="nil"/>
            </w:tcBorders>
            <w:vAlign w:val="center"/>
          </w:tcPr>
          <w:p>
            <w:pPr>
              <w:jc w:val="center"/>
              <w:rPr>
                <w:rFonts w:ascii="宋体" w:cs="宋体"/>
                <w:sz w:val="20"/>
              </w:rPr>
            </w:pPr>
            <w:r>
              <w:rPr>
                <w:rFonts w:ascii="宋体" w:cs="宋体" w:hint="eastAsia"/>
                <w:sz w:val="20"/>
              </w:rPr>
              <w:t>淮北市发改委</w:t>
            </w:r>
          </w:p>
        </w:tc>
        <w:tc>
          <w:tcPr>
            <w:tcW w:w="1848" w:type="dxa"/>
            <w:gridSpan w:val="2"/>
            <w:tcBorders>
              <w:tl2br w:val="nil"/>
              <w:tr2bl w:val="nil"/>
            </w:tcBorders>
            <w:vAlign w:val="center"/>
          </w:tcPr>
          <w:p>
            <w:pPr>
              <w:widowControl/>
              <w:jc w:val="center"/>
              <w:textAlignment w:val="center"/>
            </w:pPr>
            <w:r>
              <w:rPr>
                <w:rFonts w:ascii="宋体" w:eastAsia="宋体" w:cs="宋体" w:hAnsi="宋体" w:hint="eastAsia"/>
                <w:color w:val="000000"/>
                <w:kern w:val="0"/>
                <w:sz w:val="20"/>
                <w:szCs w:val="20"/>
              </w:rPr>
              <w:t>实施单位</w:t>
            </w:r>
          </w:p>
        </w:tc>
        <w:tc>
          <w:tcPr>
            <w:tcW w:w="2380" w:type="dxa"/>
            <w:tcBorders>
              <w:tl2br w:val="nil"/>
              <w:tr2bl w:val="nil"/>
            </w:tcBorders>
            <w:vAlign w:val="center"/>
          </w:tcPr>
          <w:p>
            <w:pPr>
              <w:jc w:val="center"/>
            </w:pPr>
            <w:r>
              <w:rPr>
                <w:color w:val="000000"/>
                <w:sz w:val="20"/>
                <w:szCs w:val="20"/>
              </w:rPr>
              <w:t>淮北市价格认证中心</w:t>
            </w:r>
          </w:p>
        </w:tc>
      </w:tr>
      <w:tr>
        <w:trPr>
          <w:trHeight w:val="330"/>
        </w:trPr>
        <w:tc>
          <w:tcPr>
            <w:tcW w:w="1443" w:type="dxa"/>
            <w:gridSpan w:val="3"/>
            <w:tcBorders>
              <w:tl2br w:val="nil"/>
              <w:tr2bl w:val="nil"/>
            </w:tcBorders>
            <w:vAlign w:val="center"/>
          </w:tcPr>
          <w:p>
            <w:pPr>
              <w:widowControl/>
              <w:jc w:val="center"/>
              <w:textAlignment w:val="center"/>
              <w:rPr>
                <w:rFonts w:ascii="宋体" w:cs="宋体"/>
                <w:sz w:val="20"/>
              </w:rPr>
            </w:pPr>
            <w:r>
              <w:rPr>
                <w:rFonts w:ascii="宋体" w:eastAsia="宋体" w:cs="宋体" w:hAnsi="宋体" w:hint="eastAsia"/>
                <w:color w:val="000000"/>
                <w:kern w:val="0"/>
                <w:sz w:val="20"/>
                <w:szCs w:val="20"/>
              </w:rPr>
              <w:t>项目来源</w:t>
            </w:r>
          </w:p>
        </w:tc>
        <w:tc>
          <w:tcPr>
            <w:tcW w:w="3349" w:type="dxa"/>
            <w:gridSpan w:val="2"/>
            <w:tcBorders>
              <w:tl2br w:val="nil"/>
              <w:tr2bl w:val="nil"/>
            </w:tcBorders>
            <w:vAlign w:val="center"/>
          </w:tcPr>
          <w:p>
            <w:pPr>
              <w:jc w:val="center"/>
              <w:rPr>
                <w:rFonts w:ascii="宋体" w:cs="宋体"/>
                <w:sz w:val="20"/>
              </w:rPr>
            </w:pPr>
            <w:r>
              <w:rPr>
                <w:rFonts w:ascii="宋体" w:cs="宋体" w:hint="eastAsia"/>
                <w:sz w:val="20"/>
              </w:rPr>
              <w:t>财政拨款</w:t>
            </w:r>
          </w:p>
        </w:tc>
        <w:tc>
          <w:tcPr>
            <w:tcW w:w="1848" w:type="dxa"/>
            <w:gridSpan w:val="2"/>
            <w:tcBorders>
              <w:tl2br w:val="nil"/>
              <w:tr2bl w:val="nil"/>
            </w:tcBorders>
            <w:vAlign w:val="center"/>
          </w:tcPr>
          <w:p>
            <w:pPr>
              <w:widowControl/>
              <w:jc w:val="center"/>
              <w:textAlignment w:val="center"/>
            </w:pPr>
            <w:r>
              <w:rPr>
                <w:rFonts w:ascii="宋体" w:eastAsia="宋体" w:cs="宋体" w:hAnsi="宋体" w:hint="eastAsia"/>
                <w:color w:val="000000"/>
                <w:kern w:val="0"/>
                <w:sz w:val="20"/>
                <w:szCs w:val="20"/>
              </w:rPr>
              <w:t>项目期</w:t>
            </w:r>
          </w:p>
        </w:tc>
        <w:tc>
          <w:tcPr>
            <w:tcW w:w="2380" w:type="dxa"/>
            <w:tcBorders>
              <w:tl2br w:val="nil"/>
              <w:tr2bl w:val="nil"/>
            </w:tcBorders>
            <w:vAlign w:val="center"/>
          </w:tcPr>
          <w:p>
            <w:pPr>
              <w:jc w:val="center"/>
            </w:pPr>
            <w:r>
              <w:rPr>
                <w:rFonts w:hint="eastAsia"/>
              </w:rPr>
              <w:t>2023年</w:t>
            </w:r>
          </w:p>
        </w:tc>
      </w:tr>
      <w:tr>
        <w:trPr>
          <w:trHeight w:val="330"/>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ascii="宋体" w:eastAsia="宋体" w:cs="宋体" w:hAnsi="宋体" w:hint="eastAsia"/>
                <w:color w:val="000000"/>
                <w:kern w:val="0"/>
                <w:sz w:val="20"/>
                <w:szCs w:val="20"/>
              </w:rPr>
              <w:t>项目资金</w:t>
              <w:b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ascii="宋体" w:eastAsia="宋体" w:cs="宋体" w:hAnsi="宋体" w:hint="eastAsia"/>
                <w:color w:val="000000"/>
                <w:kern w:val="0"/>
                <w:sz w:val="20"/>
                <w:szCs w:val="20"/>
              </w:rPr>
              <w:t xml:space="preserve"> 年度资金总额：</w:t>
            </w:r>
          </w:p>
        </w:tc>
        <w:tc>
          <w:tcPr>
            <w:tcW w:w="4228" w:type="dxa"/>
            <w:gridSpan w:val="3"/>
            <w:tcBorders>
              <w:tl2br w:val="nil"/>
              <w:tr2bl w:val="nil"/>
            </w:tcBorders>
            <w:vAlign w:val="center"/>
          </w:tcPr>
          <w:p>
            <w:pPr>
              <w:jc w:val="center"/>
              <w:rPr>
                <w:rFonts w:ascii="宋体" w:cs="宋体"/>
                <w:sz w:val="20"/>
              </w:rPr>
            </w:pPr>
            <w:r>
              <w:rPr>
                <w:rFonts w:ascii="宋体" w:cs="宋体"/>
                <w:sz w:val="20"/>
              </w:rPr>
              <w:t>31.6万元</w:t>
            </w:r>
          </w:p>
        </w:tc>
      </w:tr>
      <w:tr>
        <w:trPr>
          <w:trHeight w:val="330"/>
        </w:trPr>
        <w:tc>
          <w:tcPr>
            <w:tcW w:w="1443" w:type="dxa"/>
            <w:gridSpan w:val="3"/>
            <w:vMerge/>
            <w:tcBorders>
              <w:tl2br w:val="nil"/>
              <w:tr2bl w:val="nil"/>
            </w:tcBorders>
            <w:vAlign w:val="center"/>
          </w:tcPr>
          <w:p/>
        </w:tc>
        <w:tc>
          <w:tcPr>
            <w:tcW w:w="3349" w:type="dxa"/>
            <w:gridSpan w:val="2"/>
            <w:tcBorders>
              <w:tl2br w:val="nil"/>
              <w:tr2bl w:val="nil"/>
            </w:tcBorders>
            <w:vAlign w:val="center"/>
          </w:tcPr>
          <w:p>
            <w:pPr>
              <w:widowControl/>
              <w:jc w:val="left"/>
              <w:textAlignment w:val="center"/>
              <w:rPr>
                <w:rFonts w:ascii="宋体" w:cs="宋体"/>
                <w:sz w:val="20"/>
              </w:rPr>
            </w:pPr>
            <w:r>
              <w:rPr>
                <w:rFonts w:ascii="宋体" w:eastAsia="宋体" w:cs="宋体" w:hAnsi="宋体" w:hint="eastAsia"/>
                <w:color w:val="000000"/>
                <w:kern w:val="0"/>
                <w:sz w:val="20"/>
                <w:szCs w:val="20"/>
              </w:rPr>
              <w:t xml:space="preserve">   其中：财政拨款</w:t>
            </w:r>
          </w:p>
        </w:tc>
        <w:tc>
          <w:tcPr>
            <w:tcW w:w="4228" w:type="dxa"/>
            <w:gridSpan w:val="3"/>
            <w:tcBorders>
              <w:tl2br w:val="nil"/>
              <w:tr2bl w:val="nil"/>
            </w:tcBorders>
            <w:vAlign w:val="center"/>
          </w:tcPr>
          <w:p>
            <w:pPr>
              <w:jc w:val="center"/>
            </w:pPr>
            <w:r>
              <w:rPr>
                <w:rFonts w:ascii="宋体" w:cs="宋体"/>
                <w:sz w:val="20"/>
              </w:rPr>
              <w:t>31.6万元</w:t>
            </w:r>
          </w:p>
        </w:tc>
      </w:tr>
      <w:tr>
        <w:trPr>
          <w:trHeight w:val="330"/>
        </w:trPr>
        <w:tc>
          <w:tcPr>
            <w:tcW w:w="1443" w:type="dxa"/>
            <w:gridSpan w:val="3"/>
            <w:vMerge/>
            <w:tcBorders>
              <w:tl2br w:val="nil"/>
              <w:tr2bl w:val="nil"/>
            </w:tcBorders>
            <w:vAlign w:val="center"/>
          </w:tcPr>
          <w:p/>
        </w:tc>
        <w:tc>
          <w:tcPr>
            <w:tcW w:w="3349" w:type="dxa"/>
            <w:gridSpan w:val="2"/>
            <w:tcBorders>
              <w:tl2br w:val="nil"/>
              <w:tr2bl w:val="nil"/>
            </w:tcBorders>
            <w:vAlign w:val="center"/>
          </w:tcPr>
          <w:p>
            <w:pPr>
              <w:widowControl/>
              <w:jc w:val="left"/>
              <w:textAlignment w:val="center"/>
              <w:rPr>
                <w:rFonts w:ascii="宋体" w:cs="宋体"/>
                <w:sz w:val="20"/>
              </w:rPr>
            </w:pPr>
            <w:r>
              <w:rPr>
                <w:rFonts w:ascii="宋体" w:eastAsia="宋体" w:cs="宋体" w:hAnsi="宋体" w:hint="eastAsia"/>
                <w:color w:val="000000"/>
                <w:kern w:val="0"/>
                <w:sz w:val="20"/>
                <w:szCs w:val="20"/>
              </w:rPr>
              <w:t xml:space="preserve">         上年结转</w:t>
            </w:r>
          </w:p>
        </w:tc>
        <w:tc>
          <w:tcPr>
            <w:tcW w:w="4228" w:type="dxa"/>
            <w:gridSpan w:val="3"/>
            <w:tcBorders>
              <w:tl2br w:val="nil"/>
              <w:tr2bl w:val="nil"/>
            </w:tcBorders>
            <w:vAlign w:val="center"/>
          </w:tcPr>
          <w:p>
            <w:pPr>
              <w:jc w:val="center"/>
              <w:rPr>
                <w:rFonts w:ascii="宋体" w:cs="宋体"/>
                <w:sz w:val="20"/>
              </w:rPr>
            </w:pPr>
          </w:p>
        </w:tc>
      </w:tr>
      <w:tr>
        <w:trPr>
          <w:trHeight w:val="330"/>
        </w:trPr>
        <w:tc>
          <w:tcPr>
            <w:tcW w:w="1443" w:type="dxa"/>
            <w:gridSpan w:val="3"/>
            <w:vMerge/>
            <w:tcBorders>
              <w:tl2br w:val="nil"/>
              <w:tr2bl w:val="nil"/>
            </w:tcBorders>
            <w:vAlign w:val="center"/>
          </w:tcPr>
          <w:p/>
        </w:tc>
        <w:tc>
          <w:tcPr>
            <w:tcW w:w="3349" w:type="dxa"/>
            <w:gridSpan w:val="2"/>
            <w:tcBorders>
              <w:tl2br w:val="nil"/>
              <w:tr2bl w:val="nil"/>
            </w:tcBorders>
            <w:vAlign w:val="center"/>
          </w:tcPr>
          <w:p>
            <w:pPr>
              <w:widowControl/>
              <w:jc w:val="left"/>
              <w:textAlignment w:val="center"/>
              <w:rPr>
                <w:rFonts w:ascii="宋体" w:cs="宋体"/>
                <w:sz w:val="20"/>
              </w:rPr>
            </w:pPr>
            <w:r>
              <w:rPr>
                <w:rFonts w:ascii="宋体" w:eastAsia="宋体" w:cs="宋体" w:hAnsi="宋体" w:hint="eastAsia"/>
                <w:color w:val="000000"/>
                <w:kern w:val="0"/>
                <w:sz w:val="20"/>
                <w:szCs w:val="20"/>
              </w:rPr>
              <w:t xml:space="preserve">         其他资金</w:t>
            </w:r>
          </w:p>
        </w:tc>
        <w:tc>
          <w:tcPr>
            <w:tcW w:w="4228" w:type="dxa"/>
            <w:gridSpan w:val="3"/>
            <w:tcBorders>
              <w:tl2br w:val="nil"/>
              <w:tr2bl w:val="nil"/>
            </w:tcBorders>
            <w:vAlign w:val="center"/>
          </w:tcPr>
          <w:p>
            <w:pPr>
              <w:jc w:val="right"/>
              <w:rPr>
                <w:rFonts w:ascii="宋体" w:cs="宋体"/>
                <w:sz w:val="20"/>
              </w:rPr>
            </w:pPr>
          </w:p>
        </w:tc>
      </w:tr>
      <w:tr>
        <w:trPr>
          <w:trHeight w:val="1015"/>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ascii="宋体" w:eastAsia="宋体" w:cs="宋体" w:hAnsi="宋体" w:hint="eastAsia"/>
                <w:color w:val="000000"/>
                <w:kern w:val="0"/>
                <w:sz w:val="20"/>
                <w:szCs w:val="20"/>
              </w:rPr>
              <w:t>年度</w:t>
              <w:br/>
              <w:t>目标</w:t>
            </w:r>
          </w:p>
        </w:tc>
        <w:tc>
          <w:tcPr>
            <w:tcW w:w="8582" w:type="dxa"/>
            <w:gridSpan w:val="7"/>
            <w:tcBorders>
              <w:tl2br w:val="nil"/>
              <w:tr2bl w:val="nil"/>
            </w:tcBorders>
            <w:vAlign w:val="center"/>
          </w:tcPr>
          <w:p>
            <w:pPr>
              <w:jc w:val="center"/>
              <w:rPr>
                <w:rFonts w:ascii="宋体" w:cs="宋体"/>
                <w:sz w:val="20"/>
              </w:rPr>
            </w:pPr>
            <w:r>
              <w:rPr>
                <w:rFonts w:ascii="宋体" w:cs="宋体"/>
                <w:sz w:val="20"/>
              </w:rPr>
              <w:t>抓好涉案、涉税、涉纪价格认定工作，开展价格争议调解处理工作；推进信息化建设工作，推进价格认定价格采集点以及专家库建设工作。</w:t>
            </w:r>
          </w:p>
        </w:tc>
      </w:tr>
      <w:tr>
        <w:trPr>
          <w:trHeight w:val="508"/>
        </w:trPr>
        <w:tc>
          <w:tcPr>
            <w:tcW w:w="438" w:type="dxa"/>
            <w:vMerge w:val="restart"/>
            <w:tcBorders>
              <w:tl2br w:val="nil"/>
              <w:tr2bl w:val="nil"/>
            </w:tcBorders>
            <w:vAlign w:val="center"/>
          </w:tcPr>
          <w:p>
            <w:pPr>
              <w:widowControl/>
              <w:jc w:val="center"/>
              <w:textAlignment w:val="center"/>
              <w:rPr>
                <w:rFonts w:ascii="宋体" w:cs="宋体"/>
                <w:sz w:val="20"/>
              </w:rPr>
            </w:pPr>
            <w:r>
              <w:rPr>
                <w:rFonts w:ascii="宋体" w:eastAsia="宋体" w:cs="宋体" w:hAnsi="宋体" w:hint="eastAsia"/>
                <w:color w:val="000000"/>
                <w:kern w:val="0"/>
                <w:sz w:val="20"/>
                <w:szCs w:val="20"/>
              </w:rPr>
              <w:t>绩</w:t>
              <w:br/>
              <w:t>效</w:t>
              <w:br/>
              <w:t>指</w:t>
              <w:b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ascii="宋体" w:eastAsia="宋体" w:cs="宋体" w:hAnsi="宋体" w:hint="eastAsia"/>
                <w:color w:val="000000"/>
                <w:kern w:val="0"/>
                <w:sz w:val="20"/>
                <w:szCs w:val="20"/>
              </w:rPr>
              <w:t>一级</w:t>
              <w:b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ascii="宋体" w:eastAsia="宋体" w:cs="宋体" w:hAnsi="宋体" w:hint="eastAsia"/>
                <w:color w:val="000000"/>
                <w:kern w:val="0"/>
                <w:sz w:val="20"/>
                <w:szCs w:val="20"/>
              </w:rPr>
              <w:t>二级指标</w:t>
            </w:r>
          </w:p>
        </w:tc>
        <w:tc>
          <w:tcPr>
            <w:tcW w:w="3008" w:type="dxa"/>
            <w:gridSpan w:val="2"/>
            <w:tcBorders>
              <w:tl2br w:val="nil"/>
              <w:tr2bl w:val="nil"/>
            </w:tcBorders>
            <w:vAlign w:val="center"/>
          </w:tcPr>
          <w:p>
            <w:pPr>
              <w:widowControl/>
              <w:jc w:val="center"/>
              <w:textAlignment w:val="center"/>
              <w:rPr>
                <w:rFonts w:ascii="宋体" w:cs="宋体"/>
                <w:sz w:val="20"/>
              </w:rPr>
            </w:pPr>
            <w:r>
              <w:rPr>
                <w:rFonts w:ascii="宋体" w:eastAsia="宋体" w:cs="宋体" w:hAnsi="宋体" w:hint="eastAsia"/>
                <w:color w:val="000000"/>
                <w:kern w:val="0"/>
                <w:sz w:val="20"/>
                <w:szCs w:val="20"/>
              </w:rPr>
              <w:t>三级指标</w:t>
            </w:r>
          </w:p>
        </w:tc>
        <w:tc>
          <w:tcPr>
            <w:tcW w:w="4092" w:type="dxa"/>
            <w:gridSpan w:val="2"/>
            <w:tcBorders>
              <w:tl2br w:val="nil"/>
              <w:tr2bl w:val="nil"/>
            </w:tcBorders>
            <w:vAlign w:val="center"/>
          </w:tcPr>
          <w:p>
            <w:pPr>
              <w:widowControl/>
              <w:jc w:val="center"/>
              <w:textAlignment w:val="center"/>
              <w:rPr>
                <w:rFonts w:ascii="宋体" w:cs="宋体"/>
                <w:sz w:val="20"/>
              </w:rPr>
            </w:pPr>
            <w:r>
              <w:rPr>
                <w:rFonts w:ascii="宋体" w:eastAsia="宋体" w:cs="宋体" w:hAnsi="宋体" w:hint="eastAsia"/>
                <w:color w:val="000000"/>
                <w:kern w:val="0"/>
                <w:sz w:val="20"/>
                <w:szCs w:val="20"/>
              </w:rPr>
              <w:t>指标值</w:t>
            </w:r>
          </w:p>
        </w:tc>
      </w:tr>
      <w:tr>
        <w:trPr>
          <w:trHeight w:val="623"/>
        </w:trPr>
        <w:tc>
          <w:tcPr>
            <w:tcW w:w="438" w:type="dxa"/>
            <w:vMerge/>
            <w:tcBorders>
              <w:tl2br w:val="nil"/>
              <w:tr2bl w:val="nil"/>
            </w:tcBorders>
            <w:vAlign w:val="center"/>
          </w:tcPr>
          <w:p/>
        </w:tc>
        <w:tc>
          <w:tcPr>
            <w:tcW w:w="723" w:type="dxa"/>
            <w:vMerge w:val="restart"/>
            <w:tcBorders>
              <w:tl2br w:val="nil"/>
              <w:tr2bl w:val="nil"/>
            </w:tcBorders>
            <w:vAlign w:val="center"/>
          </w:tcPr>
          <w:p>
            <w:pPr>
              <w:widowControl/>
              <w:jc w:val="center"/>
              <w:textAlignment w:val="center"/>
              <w:rPr>
                <w:rFonts w:ascii="宋体" w:cs="宋体"/>
                <w:sz w:val="20"/>
              </w:rPr>
            </w:pPr>
            <w:r>
              <w:rPr>
                <w:rFonts w:ascii="宋体" w:eastAsia="宋体" w:cs="宋体" w:hAnsi="宋体" w:hint="eastAsia"/>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ascii="宋体" w:eastAsia="宋体" w:cs="宋体" w:hAnsi="宋体" w:hint="eastAsia"/>
                <w:color w:val="000000"/>
                <w:kern w:val="0"/>
                <w:sz w:val="20"/>
                <w:szCs w:val="20"/>
              </w:rPr>
              <w:t>数量指标</w:t>
            </w:r>
          </w:p>
        </w:tc>
        <w:tc>
          <w:tcPr>
            <w:tcW w:w="3008" w:type="dxa"/>
            <w:gridSpan w:val="2"/>
            <w:tcBorders>
              <w:tl2br w:val="nil"/>
              <w:tr2bl w:val="nil"/>
            </w:tcBorders>
            <w:vAlign w:val="center"/>
          </w:tcPr>
          <w:p>
            <w:pPr>
              <w:widowControl/>
              <w:jc w:val="left"/>
              <w:textAlignment w:val="center"/>
              <w:rPr>
                <w:rFonts w:ascii="宋体" w:eastAsia="宋体" w:cs="宋体"/>
                <w:sz w:val="20"/>
              </w:rPr>
            </w:pPr>
            <w:r>
              <w:rPr>
                <w:rFonts w:ascii="宋体" w:eastAsia="宋体" w:cs="宋体" w:hAnsi="宋体" w:hint="eastAsia"/>
                <w:color w:val="000000"/>
                <w:kern w:val="0"/>
                <w:sz w:val="20"/>
                <w:szCs w:val="20"/>
              </w:rPr>
              <w:t>指标1：</w:t>
            </w:r>
            <w:r>
              <w:rPr>
                <w:rFonts w:ascii="宋体" w:eastAsia="宋体" w:cs="宋体" w:hAnsi="宋体"/>
                <w:color w:val="000000"/>
                <w:kern w:val="0"/>
                <w:sz w:val="20"/>
                <w:szCs w:val="20"/>
              </w:rPr>
              <w:t>完成价格认定案件数</w:t>
            </w:r>
          </w:p>
        </w:tc>
        <w:tc>
          <w:tcPr>
            <w:tcW w:w="4092" w:type="dxa"/>
            <w:gridSpan w:val="2"/>
            <w:tcBorders>
              <w:tl2br w:val="nil"/>
              <w:tr2bl w:val="nil"/>
            </w:tcBorders>
            <w:vAlign w:val="center"/>
          </w:tcPr>
          <w:p>
            <w:pPr>
              <w:jc w:val="center"/>
              <w:rPr>
                <w:rFonts w:ascii="宋体" w:eastAsia="宋体" w:cs="宋体" w:hint="eastAsia"/>
                <w:sz w:val="20"/>
                <w:lang w:val="en-US" w:eastAsia="zh-CN"/>
              </w:rPr>
            </w:pPr>
            <w:r>
              <w:rPr>
                <w:rFonts w:ascii="宋体" w:eastAsia="宋体" w:cs="宋体" w:hint="eastAsia"/>
                <w:sz w:val="20"/>
                <w:lang w:val="en-US" w:eastAsia="zh-CN"/>
              </w:rPr>
              <w:t>≥1000件</w:t>
            </w:r>
          </w:p>
        </w:tc>
      </w:tr>
      <w:tr>
        <w:trPr>
          <w:trHeight w:val="543"/>
        </w:trPr>
        <w:tc>
          <w:tcPr>
            <w:tcW w:w="438" w:type="dxa"/>
            <w:vMerge/>
            <w:tcBorders>
              <w:tl2br w:val="nil"/>
              <w:tr2bl w:val="nil"/>
            </w:tcBorders>
            <w:vAlign w:val="center"/>
          </w:tcPr>
          <w:p/>
        </w:tc>
        <w:tc>
          <w:tcPr>
            <w:tcW w:w="723" w:type="dxa"/>
            <w:vMerge/>
            <w:tcBorders>
              <w:tl2br w:val="nil"/>
              <w:tr2bl w:val="nil"/>
            </w:tcBorders>
            <w:vAlign w:val="center"/>
          </w:tc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ascii="宋体" w:eastAsia="宋体" w:cs="宋体" w:hAnsi="宋体" w:hint="eastAsia"/>
                <w:color w:val="000000"/>
                <w:kern w:val="0"/>
                <w:sz w:val="20"/>
                <w:szCs w:val="20"/>
              </w:rPr>
              <w:t>质量指标</w:t>
            </w:r>
          </w:p>
        </w:tc>
        <w:tc>
          <w:tcPr>
            <w:tcW w:w="3008" w:type="dxa"/>
            <w:gridSpan w:val="2"/>
            <w:tcBorders>
              <w:tl2br w:val="nil"/>
              <w:tr2bl w:val="nil"/>
            </w:tcBorders>
            <w:vAlign w:val="center"/>
          </w:tcPr>
          <w:p>
            <w:pPr>
              <w:widowControl/>
              <w:jc w:val="left"/>
              <w:textAlignment w:val="center"/>
              <w:rPr>
                <w:rFonts w:ascii="宋体" w:eastAsia="宋体" w:cs="宋体"/>
                <w:sz w:val="20"/>
              </w:rPr>
            </w:pPr>
            <w:r>
              <w:rPr>
                <w:rFonts w:ascii="宋体" w:eastAsia="宋体" w:cs="宋体" w:hAnsi="宋体" w:hint="eastAsia"/>
                <w:color w:val="000000"/>
                <w:kern w:val="0"/>
                <w:sz w:val="20"/>
                <w:szCs w:val="20"/>
              </w:rPr>
              <w:t>指标1</w:t>
            </w:r>
            <w:r>
              <w:rPr>
                <w:rFonts w:ascii="宋体" w:eastAsia="宋体" w:cs="宋体" w:hAnsi="宋体"/>
                <w:color w:val="000000"/>
                <w:kern w:val="0"/>
                <w:sz w:val="20"/>
                <w:szCs w:val="20"/>
              </w:rPr>
              <w:t>：案件复核率</w:t>
            </w:r>
          </w:p>
        </w:tc>
        <w:tc>
          <w:tcPr>
            <w:tcW w:w="4092" w:type="dxa"/>
            <w:gridSpan w:val="2"/>
            <w:tcBorders>
              <w:tl2br w:val="nil"/>
              <w:tr2bl w:val="nil"/>
            </w:tcBorders>
            <w:vAlign w:val="center"/>
          </w:tcPr>
          <w:p>
            <w:pPr>
              <w:jc w:val="center"/>
              <w:rPr>
                <w:rFonts w:ascii="宋体" w:cs="宋体"/>
                <w:sz w:val="20"/>
              </w:rPr>
            </w:pPr>
            <w:r>
              <w:rPr>
                <w:rFonts w:ascii="宋体" w:cs="宋体" w:hint="eastAsia"/>
                <w:sz w:val="20"/>
              </w:rPr>
              <w:t>≤1%</w:t>
            </w:r>
          </w:p>
        </w:tc>
      </w:tr>
      <w:tr>
        <w:trPr>
          <w:trHeight w:val="624"/>
        </w:trPr>
        <w:tc>
          <w:tcPr>
            <w:tcW w:w="438" w:type="dxa"/>
            <w:vMerge/>
            <w:tcBorders>
              <w:tl2br w:val="nil"/>
              <w:tr2bl w:val="nil"/>
            </w:tcBorders>
            <w:vAlign w:val="center"/>
          </w:tcPr>
          <w:p/>
        </w:tc>
        <w:tc>
          <w:tcPr>
            <w:tcW w:w="723" w:type="dxa"/>
            <w:vMerge/>
            <w:tcBorders>
              <w:tl2br w:val="nil"/>
              <w:tr2bl w:val="nil"/>
            </w:tcBorders>
            <w:vAlign w:val="center"/>
          </w:tc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ascii="宋体" w:eastAsia="宋体" w:cs="宋体" w:hAnsi="宋体" w:hint="eastAsia"/>
                <w:color w:val="000000"/>
                <w:kern w:val="0"/>
                <w:sz w:val="20"/>
                <w:szCs w:val="20"/>
              </w:rPr>
              <w:t>时效指标</w:t>
            </w:r>
          </w:p>
        </w:tc>
        <w:tc>
          <w:tcPr>
            <w:tcW w:w="3008" w:type="dxa"/>
            <w:gridSpan w:val="2"/>
            <w:tcBorders>
              <w:tl2br w:val="nil"/>
              <w:tr2bl w:val="nil"/>
            </w:tcBorders>
            <w:vAlign w:val="center"/>
          </w:tcPr>
          <w:p>
            <w:pPr>
              <w:widowControl/>
              <w:jc w:val="left"/>
              <w:textAlignment w:val="center"/>
              <w:rPr>
                <w:rFonts w:ascii="宋体" w:eastAsia="宋体" w:cs="宋体" w:hAnsi="宋体"/>
                <w:color w:val="000000"/>
                <w:kern w:val="0"/>
                <w:sz w:val="20"/>
                <w:szCs w:val="20"/>
              </w:rPr>
            </w:pPr>
            <w:r>
              <w:rPr>
                <w:rFonts w:ascii="宋体" w:eastAsia="宋体" w:cs="宋体" w:hAnsi="宋体" w:hint="eastAsia"/>
                <w:color w:val="000000"/>
                <w:kern w:val="0"/>
                <w:sz w:val="20"/>
                <w:szCs w:val="20"/>
              </w:rPr>
              <w:t>指标1：</w:t>
            </w:r>
            <w:r>
              <w:rPr>
                <w:rFonts w:ascii="宋体" w:eastAsia="宋体" w:cs="宋体" w:hAnsi="宋体"/>
                <w:color w:val="000000"/>
                <w:kern w:val="0"/>
                <w:sz w:val="20"/>
                <w:szCs w:val="20"/>
              </w:rPr>
              <w:t>出具报告及时性</w:t>
            </w:r>
          </w:p>
        </w:tc>
        <w:tc>
          <w:tcPr>
            <w:tcW w:w="4092" w:type="dxa"/>
            <w:gridSpan w:val="2"/>
            <w:tcBorders>
              <w:tl2br w:val="nil"/>
              <w:tr2bl w:val="nil"/>
            </w:tcBorders>
            <w:vAlign w:val="center"/>
          </w:tcPr>
          <w:p>
            <w:pPr>
              <w:jc w:val="center"/>
              <w:rPr>
                <w:rFonts w:ascii="宋体" w:cs="宋体"/>
                <w:sz w:val="20"/>
              </w:rPr>
            </w:pPr>
            <w:r>
              <w:rPr>
                <w:rFonts w:ascii="宋体" w:cs="宋体"/>
                <w:sz w:val="20"/>
              </w:rPr>
              <w:t>及时</w:t>
            </w:r>
          </w:p>
        </w:tc>
      </w:tr>
      <w:tr>
        <w:trPr>
          <w:trHeight w:val="647"/>
        </w:trPr>
        <w:tc>
          <w:tcPr>
            <w:tcW w:w="438" w:type="dxa"/>
            <w:vMerge/>
            <w:tcBorders>
              <w:tl2br w:val="nil"/>
              <w:tr2bl w:val="nil"/>
            </w:tcBorders>
            <w:vAlign w:val="center"/>
          </w:tcPr>
          <w:p/>
        </w:tc>
        <w:tc>
          <w:tcPr>
            <w:tcW w:w="723" w:type="dxa"/>
            <w:vMerge/>
            <w:tcBorders>
              <w:tl2br w:val="nil"/>
              <w:tr2bl w:val="nil"/>
            </w:tcBorders>
            <w:vAlign w:val="center"/>
          </w:tc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ascii="宋体" w:eastAsia="宋体" w:cs="宋体" w:hAnsi="宋体" w:hint="eastAsia"/>
                <w:color w:val="000000"/>
                <w:kern w:val="0"/>
                <w:sz w:val="20"/>
                <w:szCs w:val="20"/>
              </w:rPr>
              <w:t>成本指标</w:t>
            </w:r>
          </w:p>
        </w:tc>
        <w:tc>
          <w:tcPr>
            <w:tcW w:w="3008" w:type="dxa"/>
            <w:gridSpan w:val="2"/>
            <w:tcBorders>
              <w:tl2br w:val="nil"/>
              <w:tr2bl w:val="nil"/>
            </w:tcBorders>
            <w:vAlign w:val="center"/>
          </w:tcPr>
          <w:p>
            <w:pPr>
              <w:widowControl/>
              <w:jc w:val="left"/>
              <w:textAlignment w:val="center"/>
              <w:rPr>
                <w:rFonts w:ascii="宋体" w:eastAsia="宋体" w:cs="宋体" w:hAnsi="宋体"/>
                <w:color w:val="000000"/>
                <w:kern w:val="0"/>
                <w:sz w:val="20"/>
                <w:szCs w:val="20"/>
              </w:rPr>
            </w:pPr>
            <w:r>
              <w:rPr>
                <w:rFonts w:ascii="宋体" w:eastAsia="宋体" w:cs="宋体" w:hAnsi="宋体" w:hint="eastAsia"/>
                <w:color w:val="000000"/>
                <w:kern w:val="0"/>
                <w:sz w:val="20"/>
                <w:szCs w:val="20"/>
              </w:rPr>
              <w:t>指标1：</w:t>
            </w:r>
            <w:r>
              <w:rPr>
                <w:rFonts w:ascii="宋体" w:eastAsia="宋体" w:cs="宋体" w:hAnsi="宋体"/>
                <w:color w:val="000000"/>
                <w:kern w:val="0"/>
                <w:sz w:val="20"/>
                <w:szCs w:val="20"/>
              </w:rPr>
              <w:t>资金使用节约率</w:t>
            </w:r>
          </w:p>
        </w:tc>
        <w:tc>
          <w:tcPr>
            <w:tcW w:w="4092" w:type="dxa"/>
            <w:gridSpan w:val="2"/>
            <w:tcBorders>
              <w:tl2br w:val="nil"/>
              <w:tr2bl w:val="nil"/>
            </w:tcBorders>
            <w:vAlign w:val="center"/>
          </w:tcPr>
          <w:p>
            <w:pPr>
              <w:jc w:val="center"/>
              <w:rPr>
                <w:rFonts w:ascii="宋体" w:cs="宋体"/>
                <w:sz w:val="20"/>
              </w:rPr>
            </w:pPr>
            <w:r>
              <w:rPr>
                <w:rFonts w:ascii="宋体" w:cs="宋体" w:hint="eastAsia"/>
                <w:sz w:val="20"/>
              </w:rPr>
              <w:t>≥90%</w:t>
            </w:r>
          </w:p>
        </w:tc>
      </w:tr>
      <w:tr>
        <w:trPr>
          <w:trHeight w:val="878"/>
        </w:trPr>
        <w:tc>
          <w:tcPr>
            <w:tcW w:w="438" w:type="dxa"/>
            <w:vMerge/>
            <w:tcBorders>
              <w:tl2br w:val="nil"/>
              <w:tr2bl w:val="nil"/>
            </w:tcBorders>
            <w:vAlign w:val="center"/>
          </w:tcPr>
          <w:p/>
        </w:tc>
        <w:tc>
          <w:tcPr>
            <w:tcW w:w="723" w:type="dxa"/>
            <w:vMerge w:val="restart"/>
            <w:tcBorders>
              <w:tl2br w:val="nil"/>
              <w:tr2bl w:val="nil"/>
            </w:tcBorders>
            <w:vAlign w:val="center"/>
          </w:tcPr>
          <w:p>
            <w:pPr>
              <w:widowControl/>
              <w:jc w:val="center"/>
              <w:textAlignment w:val="center"/>
              <w:rPr>
                <w:rFonts w:ascii="宋体" w:cs="宋体"/>
                <w:sz w:val="20"/>
              </w:rPr>
            </w:pPr>
            <w:r>
              <w:rPr>
                <w:rFonts w:ascii="宋体" w:eastAsia="宋体" w:cs="宋体" w:hAnsi="宋体" w:hint="eastAsia"/>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ascii="宋体" w:eastAsia="宋体" w:cs="宋体" w:hAnsi="宋体" w:hint="eastAsia"/>
                <w:color w:val="000000"/>
                <w:kern w:val="0"/>
                <w:sz w:val="20"/>
                <w:szCs w:val="20"/>
              </w:rPr>
              <w:t>经济效益指标</w:t>
            </w:r>
          </w:p>
        </w:tc>
        <w:tc>
          <w:tcPr>
            <w:tcW w:w="3008" w:type="dxa"/>
            <w:gridSpan w:val="2"/>
            <w:tcBorders>
              <w:tl2br w:val="nil"/>
              <w:tr2bl w:val="nil"/>
            </w:tcBorders>
            <w:vAlign w:val="center"/>
          </w:tcPr>
          <w:p>
            <w:pPr>
              <w:widowControl/>
              <w:jc w:val="left"/>
              <w:textAlignment w:val="center"/>
              <w:rPr>
                <w:rFonts w:ascii="宋体" w:eastAsia="宋体" w:cs="宋体" w:hAnsi="宋体"/>
                <w:color w:val="000000"/>
                <w:kern w:val="0"/>
                <w:sz w:val="20"/>
                <w:szCs w:val="20"/>
              </w:rPr>
            </w:pPr>
            <w:r>
              <w:rPr>
                <w:rFonts w:ascii="宋体" w:eastAsia="宋体" w:cs="宋体" w:hAnsi="宋体" w:hint="eastAsia"/>
                <w:color w:val="000000"/>
                <w:kern w:val="0"/>
                <w:sz w:val="20"/>
                <w:szCs w:val="20"/>
              </w:rPr>
              <w:t>指标1：</w:t>
            </w:r>
            <w:r>
              <w:rPr>
                <w:rFonts w:ascii="宋体" w:eastAsia="宋体" w:cs="宋体" w:hAnsi="宋体"/>
                <w:color w:val="000000"/>
                <w:kern w:val="0"/>
                <w:sz w:val="20"/>
                <w:szCs w:val="20"/>
              </w:rPr>
              <w:t>无指标</w:t>
            </w:r>
          </w:p>
        </w:tc>
        <w:tc>
          <w:tcPr>
            <w:tcW w:w="4092" w:type="dxa"/>
            <w:gridSpan w:val="2"/>
            <w:tcBorders>
              <w:tl2br w:val="nil"/>
              <w:tr2bl w:val="nil"/>
            </w:tcBorders>
            <w:vAlign w:val="center"/>
          </w:tcPr>
          <w:p>
            <w:pPr>
              <w:jc w:val="center"/>
              <w:rPr>
                <w:rFonts w:ascii="宋体" w:cs="宋体"/>
                <w:sz w:val="20"/>
              </w:rPr>
            </w:pPr>
            <w:r>
              <w:rPr>
                <w:rFonts w:ascii="宋体" w:cs="宋体"/>
                <w:sz w:val="20"/>
              </w:rPr>
              <w:t>无指标</w:t>
            </w:r>
          </w:p>
        </w:tc>
      </w:tr>
      <w:tr>
        <w:trPr>
          <w:trHeight w:val="716"/>
        </w:trPr>
        <w:tc>
          <w:tcPr>
            <w:tcW w:w="438" w:type="dxa"/>
            <w:vMerge/>
            <w:tcBorders>
              <w:tl2br w:val="nil"/>
              <w:tr2bl w:val="nil"/>
            </w:tcBorders>
            <w:vAlign w:val="center"/>
          </w:tcPr>
          <w:p/>
        </w:tc>
        <w:tc>
          <w:tcPr>
            <w:tcW w:w="723" w:type="dxa"/>
            <w:vMerge/>
            <w:tcBorders>
              <w:tl2br w:val="nil"/>
              <w:tr2bl w:val="nil"/>
            </w:tcBorders>
            <w:vAlign w:val="center"/>
          </w:tc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ascii="宋体" w:eastAsia="宋体" w:cs="宋体" w:hAnsi="宋体" w:hint="eastAsia"/>
                <w:color w:val="000000"/>
                <w:kern w:val="0"/>
                <w:sz w:val="20"/>
                <w:szCs w:val="20"/>
              </w:rPr>
              <w:t>社会效益指标</w:t>
            </w:r>
          </w:p>
        </w:tc>
        <w:tc>
          <w:tcPr>
            <w:tcW w:w="3008" w:type="dxa"/>
            <w:gridSpan w:val="2"/>
            <w:tcBorders>
              <w:tl2br w:val="nil"/>
              <w:tr2bl w:val="nil"/>
            </w:tcBorders>
            <w:vAlign w:val="center"/>
          </w:tcPr>
          <w:p>
            <w:pPr>
              <w:widowControl/>
              <w:jc w:val="left"/>
              <w:textAlignment w:val="center"/>
              <w:rPr>
                <w:rFonts w:ascii="宋体" w:eastAsia="宋体" w:cs="宋体" w:hAnsi="宋体"/>
                <w:color w:val="000000"/>
                <w:kern w:val="0"/>
                <w:sz w:val="20"/>
                <w:szCs w:val="20"/>
              </w:rPr>
            </w:pPr>
            <w:r>
              <w:rPr>
                <w:rFonts w:ascii="宋体" w:eastAsia="宋体" w:cs="宋体" w:hAnsi="宋体" w:hint="eastAsia"/>
                <w:color w:val="000000"/>
                <w:kern w:val="0"/>
                <w:sz w:val="20"/>
                <w:szCs w:val="20"/>
              </w:rPr>
              <w:t>指标1：</w:t>
            </w:r>
            <w:r>
              <w:rPr>
                <w:rFonts w:ascii="宋体" w:eastAsia="宋体" w:cs="宋体" w:hAnsi="宋体"/>
                <w:color w:val="000000"/>
                <w:kern w:val="0"/>
                <w:sz w:val="20"/>
                <w:szCs w:val="20"/>
              </w:rPr>
              <w:t>维护司法公正，保障群众合法权益，促进社会和谐稳定。</w:t>
            </w:r>
          </w:p>
        </w:tc>
        <w:tc>
          <w:tcPr>
            <w:tcW w:w="4092" w:type="dxa"/>
            <w:gridSpan w:val="2"/>
            <w:tcBorders>
              <w:tl2br w:val="nil"/>
              <w:tr2bl w:val="nil"/>
            </w:tcBorders>
            <w:vAlign w:val="center"/>
          </w:tcPr>
          <w:p>
            <w:pPr>
              <w:jc w:val="center"/>
              <w:rPr>
                <w:rFonts w:ascii="宋体" w:cs="宋体"/>
                <w:sz w:val="20"/>
              </w:rPr>
            </w:pPr>
            <w:r>
              <w:rPr>
                <w:rFonts w:ascii="宋体" w:cs="宋体"/>
                <w:sz w:val="20"/>
              </w:rPr>
              <w:t>保障</w:t>
            </w:r>
          </w:p>
        </w:tc>
      </w:tr>
      <w:tr>
        <w:trPr>
          <w:trHeight w:val="601"/>
        </w:trPr>
        <w:tc>
          <w:tcPr>
            <w:tcW w:w="438" w:type="dxa"/>
            <w:vMerge/>
            <w:tcBorders>
              <w:tl2br w:val="nil"/>
              <w:tr2bl w:val="nil"/>
            </w:tcBorders>
            <w:vAlign w:val="center"/>
          </w:tcPr>
          <w:p/>
        </w:tc>
        <w:tc>
          <w:tcPr>
            <w:tcW w:w="723" w:type="dxa"/>
            <w:vMerge/>
            <w:tcBorders>
              <w:tl2br w:val="nil"/>
              <w:tr2bl w:val="nil"/>
            </w:tcBorders>
            <w:vAlign w:val="center"/>
          </w:tc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ascii="宋体" w:eastAsia="宋体" w:cs="宋体" w:hAnsi="宋体" w:hint="eastAsia"/>
                <w:color w:val="000000"/>
                <w:kern w:val="0"/>
                <w:sz w:val="20"/>
                <w:szCs w:val="20"/>
              </w:rPr>
              <w:t>生态效益指标</w:t>
            </w:r>
          </w:p>
        </w:tc>
        <w:tc>
          <w:tcPr>
            <w:tcW w:w="3008" w:type="dxa"/>
            <w:gridSpan w:val="2"/>
            <w:tcBorders>
              <w:tl2br w:val="nil"/>
              <w:tr2bl w:val="nil"/>
            </w:tcBorders>
            <w:vAlign w:val="center"/>
          </w:tcPr>
          <w:p>
            <w:pPr>
              <w:widowControl/>
              <w:jc w:val="left"/>
              <w:textAlignment w:val="center"/>
              <w:rPr>
                <w:rFonts w:ascii="宋体" w:eastAsia="宋体" w:cs="宋体" w:hAnsi="宋体"/>
                <w:color w:val="000000"/>
                <w:kern w:val="0"/>
                <w:sz w:val="20"/>
                <w:szCs w:val="20"/>
              </w:rPr>
            </w:pPr>
            <w:r>
              <w:rPr>
                <w:rFonts w:ascii="宋体" w:eastAsia="宋体" w:cs="宋体" w:hAnsi="宋体" w:hint="eastAsia"/>
                <w:color w:val="000000"/>
                <w:kern w:val="0"/>
                <w:sz w:val="20"/>
                <w:szCs w:val="20"/>
              </w:rPr>
              <w:t>指标1：</w:t>
            </w:r>
            <w:r>
              <w:rPr>
                <w:rFonts w:ascii="宋体" w:eastAsia="宋体" w:cs="宋体" w:hAnsi="宋体"/>
                <w:color w:val="000000"/>
                <w:kern w:val="0"/>
                <w:sz w:val="20"/>
                <w:szCs w:val="20"/>
              </w:rPr>
              <w:t>不适用</w:t>
            </w:r>
          </w:p>
        </w:tc>
        <w:tc>
          <w:tcPr>
            <w:tcW w:w="4092" w:type="dxa"/>
            <w:gridSpan w:val="2"/>
            <w:tcBorders>
              <w:tl2br w:val="nil"/>
              <w:tr2bl w:val="nil"/>
            </w:tcBorders>
            <w:vAlign w:val="center"/>
          </w:tcPr>
          <w:p>
            <w:pPr>
              <w:jc w:val="center"/>
              <w:rPr>
                <w:rFonts w:ascii="宋体" w:cs="宋体"/>
                <w:sz w:val="20"/>
              </w:rPr>
            </w:pPr>
            <w:r>
              <w:rPr>
                <w:rFonts w:ascii="宋体" w:cs="宋体"/>
                <w:sz w:val="20"/>
              </w:rPr>
              <w:t>不适用</w:t>
            </w:r>
          </w:p>
        </w:tc>
      </w:tr>
      <w:tr>
        <w:trPr>
          <w:trHeight w:val="855"/>
        </w:trPr>
        <w:tc>
          <w:tcPr>
            <w:tcW w:w="438" w:type="dxa"/>
            <w:vMerge/>
            <w:tcBorders>
              <w:tl2br w:val="nil"/>
              <w:tr2bl w:val="nil"/>
            </w:tcBorders>
            <w:vAlign w:val="center"/>
          </w:tcPr>
          <w:p/>
        </w:tc>
        <w:tc>
          <w:tcPr>
            <w:tcW w:w="723" w:type="dxa"/>
            <w:vMerge/>
            <w:tcBorders>
              <w:tl2br w:val="nil"/>
              <w:tr2bl w:val="nil"/>
            </w:tcBorders>
            <w:vAlign w:val="center"/>
          </w:tcPr>
          <w:p/>
        </w:tc>
        <w:tc>
          <w:tcPr>
            <w:tcW w:w="759" w:type="dxa"/>
            <w:gridSpan w:val="2"/>
            <w:tcBorders>
              <w:tl2br w:val="nil"/>
              <w:tr2bl w:val="nil"/>
            </w:tcBorders>
            <w:vAlign w:val="center"/>
          </w:tcPr>
          <w:p>
            <w:pPr>
              <w:widowControl/>
              <w:spacing w:line="200" w:lineRule="exact"/>
              <w:jc w:val="center"/>
              <w:rPr>
                <w:rFonts w:ascii="宋体" w:eastAsia="宋体" w:cs="宋体" w:hAnsi="宋体"/>
                <w:sz w:val="20"/>
              </w:rPr>
            </w:pPr>
            <w:r>
              <w:rPr>
                <w:rFonts w:ascii="宋体" w:eastAsia="宋体" w:cs="宋体" w:hAnsi="宋体" w:hint="eastAsia"/>
                <w:sz w:val="20"/>
              </w:rPr>
              <w:t>可持续影响指标</w:t>
            </w:r>
          </w:p>
        </w:tc>
        <w:tc>
          <w:tcPr>
            <w:tcW w:w="3008" w:type="dxa"/>
            <w:gridSpan w:val="2"/>
            <w:tcBorders>
              <w:tl2br w:val="nil"/>
              <w:tr2bl w:val="nil"/>
            </w:tcBorders>
            <w:vAlign w:val="center"/>
          </w:tcPr>
          <w:p>
            <w:pPr>
              <w:widowControl/>
              <w:jc w:val="left"/>
              <w:textAlignment w:val="center"/>
              <w:rPr>
                <w:rFonts w:ascii="宋体" w:eastAsia="宋体" w:cs="宋体" w:hAnsi="宋体"/>
                <w:color w:val="000000"/>
                <w:kern w:val="0"/>
                <w:sz w:val="20"/>
                <w:szCs w:val="20"/>
              </w:rPr>
            </w:pPr>
            <w:r>
              <w:rPr>
                <w:rFonts w:ascii="宋体" w:eastAsia="宋体" w:cs="宋体" w:hAnsi="宋体" w:hint="eastAsia"/>
                <w:color w:val="000000"/>
                <w:kern w:val="0"/>
                <w:sz w:val="20"/>
                <w:szCs w:val="20"/>
              </w:rPr>
              <w:t>指标1：</w:t>
            </w:r>
            <w:r>
              <w:rPr>
                <w:rFonts w:ascii="宋体" w:eastAsia="宋体" w:cs="宋体" w:hAnsi="宋体"/>
                <w:color w:val="000000"/>
                <w:kern w:val="0"/>
                <w:sz w:val="20"/>
                <w:szCs w:val="20"/>
              </w:rPr>
              <w:t>保持客观独立性</w:t>
            </w:r>
          </w:p>
        </w:tc>
        <w:tc>
          <w:tcPr>
            <w:tcW w:w="4092" w:type="dxa"/>
            <w:gridSpan w:val="2"/>
            <w:tcBorders>
              <w:tl2br w:val="nil"/>
              <w:tr2bl w:val="nil"/>
            </w:tcBorders>
            <w:vAlign w:val="center"/>
          </w:tcPr>
          <w:p>
            <w:pPr>
              <w:jc w:val="center"/>
              <w:rPr>
                <w:rFonts w:ascii="宋体" w:cs="宋体"/>
                <w:sz w:val="20"/>
              </w:rPr>
            </w:pPr>
            <w:r>
              <w:rPr>
                <w:rFonts w:ascii="宋体" w:cs="宋体"/>
                <w:sz w:val="20"/>
              </w:rPr>
              <w:t>保持</w:t>
            </w:r>
          </w:p>
        </w:tc>
      </w:tr>
      <w:tr>
        <w:trPr>
          <w:trHeight w:val="695"/>
        </w:trPr>
        <w:tc>
          <w:tcPr>
            <w:tcW w:w="438" w:type="dxa"/>
            <w:vMerge/>
            <w:tcBorders>
              <w:tl2br w:val="nil"/>
              <w:tr2bl w:val="nil"/>
            </w:tcBorders>
            <w:vAlign w:val="center"/>
          </w:tcPr>
          <w:p/>
        </w:tc>
        <w:tc>
          <w:tcPr>
            <w:tcW w:w="723" w:type="dxa"/>
            <w:tcBorders>
              <w:tl2br w:val="nil"/>
              <w:tr2bl w:val="nil"/>
            </w:tcBorders>
            <w:vAlign w:val="center"/>
          </w:tcPr>
          <w:p>
            <w:pPr>
              <w:widowControl/>
              <w:spacing w:line="200" w:lineRule="exact"/>
              <w:jc w:val="center"/>
              <w:rPr>
                <w:rFonts w:ascii="宋体" w:eastAsia="宋体" w:cs="宋体" w:hAnsi="宋体"/>
                <w:sz w:val="20"/>
              </w:rPr>
            </w:pPr>
            <w:r>
              <w:rPr>
                <w:rFonts w:ascii="宋体" w:eastAsia="宋体" w:cs="宋体" w:hAnsi="宋体" w:hint="eastAsia"/>
                <w:sz w:val="20"/>
              </w:rPr>
              <w:t>满意度指标</w:t>
            </w:r>
          </w:p>
        </w:tc>
        <w:tc>
          <w:tcPr>
            <w:tcW w:w="759" w:type="dxa"/>
            <w:gridSpan w:val="2"/>
            <w:tcBorders>
              <w:tl2br w:val="nil"/>
              <w:tr2bl w:val="nil"/>
            </w:tcBorders>
            <w:vAlign w:val="center"/>
          </w:tcPr>
          <w:p>
            <w:pPr>
              <w:widowControl/>
              <w:spacing w:line="200" w:lineRule="exact"/>
              <w:jc w:val="center"/>
              <w:rPr>
                <w:rFonts w:ascii="宋体" w:eastAsia="宋体" w:cs="宋体" w:hAnsi="宋体"/>
                <w:sz w:val="20"/>
              </w:rPr>
            </w:pPr>
            <w:r>
              <w:rPr>
                <w:rFonts w:ascii="宋体" w:eastAsia="宋体" w:cs="宋体" w:hAnsi="宋体" w:hint="eastAsia"/>
                <w:sz w:val="20"/>
              </w:rPr>
              <w:t>满意度指标</w:t>
            </w:r>
          </w:p>
        </w:tc>
        <w:tc>
          <w:tcPr>
            <w:tcW w:w="3008" w:type="dxa"/>
            <w:gridSpan w:val="2"/>
            <w:tcBorders>
              <w:tl2br w:val="nil"/>
              <w:tr2bl w:val="nil"/>
            </w:tcBorders>
            <w:vAlign w:val="center"/>
          </w:tcPr>
          <w:p>
            <w:pPr>
              <w:widowControl/>
              <w:jc w:val="left"/>
              <w:textAlignment w:val="center"/>
              <w:rPr>
                <w:rFonts w:ascii="宋体" w:eastAsia="宋体" w:cs="宋体" w:hAnsi="宋体"/>
                <w:color w:val="000000"/>
                <w:kern w:val="0"/>
                <w:sz w:val="20"/>
                <w:szCs w:val="20"/>
              </w:rPr>
            </w:pPr>
            <w:r>
              <w:rPr>
                <w:rFonts w:ascii="宋体" w:eastAsia="宋体" w:cs="宋体" w:hAnsi="宋体" w:hint="eastAsia"/>
                <w:color w:val="000000"/>
                <w:kern w:val="0"/>
                <w:sz w:val="20"/>
                <w:szCs w:val="20"/>
              </w:rPr>
              <w:t>指标1：满意度</w:t>
            </w:r>
          </w:p>
        </w:tc>
        <w:tc>
          <w:tcPr>
            <w:tcW w:w="4092" w:type="dxa"/>
            <w:gridSpan w:val="2"/>
            <w:tcBorders>
              <w:tl2br w:val="nil"/>
              <w:tr2bl w:val="nil"/>
            </w:tcBorders>
            <w:vAlign w:val="center"/>
          </w:tcPr>
          <w:p>
            <w:pPr>
              <w:jc w:val="center"/>
              <w:rPr>
                <w:rFonts w:ascii="宋体" w:cs="宋体"/>
                <w:sz w:val="20"/>
              </w:rPr>
            </w:pPr>
            <w:r>
              <w:rPr>
                <w:rFonts w:ascii="宋体" w:cs="宋体" w:hint="eastAsia"/>
                <w:sz w:val="20"/>
              </w:rPr>
              <w:t>≥95%</w:t>
            </w:r>
          </w:p>
        </w:tc>
      </w:tr>
    </w:tbl>
    <w:p>
      <w:pPr>
        <w:pStyle w:val="15"/>
        <w:ind w:left="0" w:firstLineChars="0" w:firstLine="0"/>
        <w:rPr>
          <w:rFonts w:hint="eastAsia"/>
        </w:rPr>
      </w:pPr>
    </w:p>
    <w:p>
      <w:pPr>
        <w:adjustRightInd w:val="0"/>
        <w:snapToGrid w:val="0"/>
        <w:spacing w:line="580" w:lineRule="exact"/>
        <w:ind w:firstLineChars="200" w:firstLine="640"/>
        <w:rPr>
          <w:rFonts w:ascii="TimesNewRoman" w:eastAsia="仿宋_GB2312" w:cs="TimesNewRoman" w:hAnsi="TimesNewRoman"/>
          <w:b/>
          <w:sz w:val="32"/>
          <w:szCs w:val="32"/>
        </w:rPr>
      </w:pPr>
      <w:r>
        <w:rPr>
          <w:rFonts w:ascii="TimesNewRoman" w:eastAsia="仿宋_GB2312" w:cs="TimesNewRoman" w:hAnsi="TimesNewRoman" w:hint="eastAsia"/>
          <w:b/>
          <w:sz w:val="32"/>
          <w:szCs w:val="32"/>
        </w:rPr>
        <w:t>（二）机关运行经费。</w:t>
      </w:r>
    </w:p>
    <w:p>
      <w:pPr>
        <w:ind w:firstLineChars="200" w:firstLine="640"/>
        <w:rPr>
          <w:rFonts w:ascii="TimesNewRoman" w:eastAsia="仿宋_GB2312" w:cs="TimesNewRoman" w:hAnsi="TimesNewRoman"/>
          <w:kern w:val="0"/>
          <w:sz w:val="32"/>
          <w:szCs w:val="32"/>
          <w:lang w:val="en-US" w:eastAsia="zh-CN"/>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2024年机关运行经费财政拨款预算</w:t>
      </w:r>
      <w:r>
        <w:rPr>
          <w:rFonts w:ascii="TimesNewRoman" w:eastAsia="仿宋_GB2312" w:cs="TimesNewRoman" w:hAnsi="TimesNewRoman" w:hint="eastAsia"/>
          <w:kern w:val="0"/>
          <w:sz w:val="32"/>
          <w:szCs w:val="32"/>
          <w:lang w:val="en-US" w:eastAsia="zh-CN"/>
        </w:rPr>
        <w:t>19.20</w:t>
      </w:r>
      <w:r>
        <w:rPr>
          <w:rFonts w:ascii="TimesNewRoman" w:eastAsia="仿宋_GB2312" w:cs="TimesNewRoman" w:hAnsi="TimesNewRoman" w:hint="eastAsia"/>
          <w:kern w:val="0"/>
          <w:sz w:val="32"/>
          <w:szCs w:val="32"/>
        </w:rPr>
        <w:t>万元，</w:t>
      </w:r>
      <w:r>
        <w:rPr>
          <w:rFonts w:ascii="TimesNewRoman" w:eastAsia="仿宋_GB2312" w:cs="TimesNewRoman" w:hAnsi="TimesNewRoman" w:hint="eastAsia"/>
          <w:kern w:val="0"/>
          <w:sz w:val="32"/>
          <w:szCs w:val="32"/>
          <w:lang w:val="en-US" w:eastAsia="zh-CN"/>
        </w:rPr>
        <w:t>与</w:t>
      </w:r>
      <w:r>
        <w:rPr>
          <w:rFonts w:ascii="TimesNewRoman" w:eastAsia="仿宋_GB2312" w:cs="TimesNewRoman" w:hAnsi="TimesNewRoman" w:hint="eastAsia"/>
          <w:kern w:val="0"/>
          <w:sz w:val="32"/>
          <w:szCs w:val="32"/>
        </w:rPr>
        <w:t>2023年预算</w:t>
      </w:r>
      <w:r>
        <w:rPr>
          <w:rFonts w:ascii="TimesNewRoman" w:eastAsia="仿宋_GB2312" w:cs="TimesNewRoman" w:hAnsi="TimesNewRoman" w:hint="eastAsia"/>
          <w:kern w:val="0"/>
          <w:sz w:val="32"/>
          <w:szCs w:val="32"/>
          <w:lang w:val="en-US" w:eastAsia="zh-CN"/>
        </w:rPr>
        <w:t>相比无变化。</w:t>
      </w:r>
    </w:p>
    <w:p>
      <w:pPr>
        <w:adjustRightInd w:val="0"/>
        <w:snapToGrid w:val="0"/>
        <w:spacing w:line="580" w:lineRule="exact"/>
        <w:ind w:firstLineChars="200" w:firstLine="640"/>
        <w:rPr>
          <w:rFonts w:ascii="TimesNewRoman" w:eastAsia="仿宋_GB2312" w:cs="TimesNewRoman" w:hAnsi="TimesNewRoman"/>
          <w:b/>
          <w:sz w:val="32"/>
          <w:szCs w:val="32"/>
        </w:rPr>
      </w:pPr>
      <w:r>
        <w:rPr>
          <w:rFonts w:ascii="TimesNewRoman" w:eastAsia="仿宋_GB2312" w:cs="TimesNewRoman" w:hAnsi="TimesNewRoman" w:hint="eastAsia"/>
          <w:b/>
          <w:sz w:val="32"/>
          <w:szCs w:val="32"/>
        </w:rPr>
        <w:t>（三）政府采购情况。</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2024年政府采购预算</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万元。其中：政府采购货物预算</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万元，政府采购工程预算</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万元，政府采购服务预算</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万元。</w:t>
      </w:r>
    </w:p>
    <w:p>
      <w:pPr>
        <w:adjustRightInd w:val="0"/>
        <w:snapToGrid w:val="0"/>
        <w:spacing w:line="580" w:lineRule="exact"/>
        <w:ind w:firstLineChars="200" w:firstLine="640"/>
        <w:rPr>
          <w:rFonts w:ascii="TimesNewRoman" w:eastAsia="仿宋_GB2312" w:cs="TimesNewRoman" w:hAnsi="TimesNewRoman"/>
          <w:b/>
          <w:sz w:val="32"/>
          <w:szCs w:val="32"/>
        </w:rPr>
      </w:pPr>
      <w:r>
        <w:rPr>
          <w:rFonts w:ascii="TimesNewRoman" w:eastAsia="仿宋_GB2312" w:cs="TimesNewRoman" w:hAnsi="TimesNewRoman" w:hint="eastAsia"/>
          <w:b/>
          <w:sz w:val="32"/>
          <w:szCs w:val="32"/>
        </w:rPr>
        <w:t>（四）国有资产占有使用情况。</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截至2023年12月31日，淮北市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rPr>
        <w:t>共有车辆</w:t>
      </w:r>
      <w:r>
        <w:rPr>
          <w:rFonts w:ascii="TimesNewRoman" w:eastAsia="仿宋_GB2312" w:cs="TimesNewRoman" w:hAnsi="TimesNewRoman" w:hint="eastAsia"/>
          <w:kern w:val="0"/>
          <w:sz w:val="32"/>
          <w:szCs w:val="32"/>
          <w:lang w:val="en-US" w:eastAsia="zh-CN"/>
        </w:rPr>
        <w:t>1</w:t>
      </w:r>
      <w:r>
        <w:rPr>
          <w:rFonts w:ascii="TimesNewRoman" w:eastAsia="仿宋_GB2312" w:cs="TimesNewRoman" w:hAnsi="TimesNewRoman" w:hint="eastAsia"/>
          <w:kern w:val="0"/>
          <w:sz w:val="32"/>
          <w:szCs w:val="32"/>
        </w:rPr>
        <w:t>辆，其中：其他用车</w:t>
      </w:r>
      <w:r>
        <w:rPr>
          <w:rFonts w:ascii="TimesNewRoman" w:eastAsia="仿宋_GB2312" w:cs="TimesNewRoman" w:hAnsi="TimesNewRoman" w:hint="eastAsia"/>
          <w:kern w:val="0"/>
          <w:sz w:val="32"/>
          <w:szCs w:val="32"/>
          <w:lang w:val="en-US" w:eastAsia="zh-CN"/>
        </w:rPr>
        <w:t>1</w:t>
      </w:r>
      <w:r>
        <w:rPr>
          <w:rFonts w:ascii="TimesNewRoman" w:eastAsia="仿宋_GB2312" w:cs="TimesNewRoman" w:hAnsi="TimesNewRoman" w:hint="eastAsia"/>
          <w:kern w:val="0"/>
          <w:sz w:val="32"/>
          <w:szCs w:val="32"/>
        </w:rPr>
        <w:t>辆。单价50万元以上的通用设备</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台（套），单价100万元以上的专用设备</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台（套）。</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2024年</w:t>
      </w:r>
      <w:r>
        <w:rPr>
          <w:rFonts w:ascii="TimesNewRoman" w:eastAsia="仿宋_GB2312" w:cs="TimesNewRoman" w:hAnsi="TimesNewRoman"/>
          <w:kern w:val="0"/>
          <w:sz w:val="32"/>
          <w:szCs w:val="32"/>
        </w:rPr>
        <w:t>单位</w:t>
      </w:r>
      <w:bookmarkStart w:id="0" w:name="_GoBack"/>
      <w:bookmarkEnd w:id="0"/>
      <w:r>
        <w:rPr>
          <w:rFonts w:ascii="TimesNewRoman" w:eastAsia="仿宋_GB2312" w:cs="TimesNewRoman" w:hAnsi="TimesNewRoman" w:hint="eastAsia"/>
          <w:kern w:val="0"/>
          <w:sz w:val="32"/>
          <w:szCs w:val="32"/>
        </w:rPr>
        <w:t>预算安排购置公务用车</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辆，购置费</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万元；安排购置单价50万元以上的通用设备</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台（套），购置费</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万元；安排购置单价100万元以上专用设备</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台（套），购置费</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万元。</w:t>
      </w:r>
    </w:p>
    <w:p>
      <w:pPr>
        <w:adjustRightInd w:val="0"/>
        <w:snapToGrid w:val="0"/>
        <w:spacing w:line="580" w:lineRule="exact"/>
        <w:ind w:firstLineChars="200" w:firstLine="640"/>
        <w:rPr>
          <w:rFonts w:ascii="TimesNewRoman" w:eastAsia="仿宋_GB2312" w:cs="TimesNewRoman" w:hAnsi="TimesNewRoman"/>
          <w:b/>
          <w:sz w:val="32"/>
          <w:szCs w:val="32"/>
        </w:rPr>
      </w:pPr>
      <w:r>
        <w:rPr>
          <w:rFonts w:ascii="TimesNewRoman" w:eastAsia="仿宋_GB2312" w:cs="TimesNewRoman" w:hAnsi="TimesNewRoman" w:hint="eastAsia"/>
          <w:b/>
          <w:sz w:val="32"/>
          <w:szCs w:val="32"/>
        </w:rPr>
        <w:t>（五）绩效目标设置情况。</w:t>
      </w:r>
    </w:p>
    <w:p>
      <w:pPr>
        <w:ind w:firstLineChars="200" w:firstLine="640"/>
        <w:rPr>
          <w:rFonts w:ascii="TimesNewRoman" w:eastAsia="仿宋_GB2312" w:cs="TimesNewRoman" w:hAnsi="TimesNewRoman"/>
          <w:kern w:val="0"/>
          <w:sz w:val="32"/>
          <w:szCs w:val="32"/>
        </w:rPr>
      </w:pPr>
      <w:r>
        <w:rPr>
          <w:rFonts w:ascii="TimesNewRoman" w:eastAsia="仿宋_GB2312" w:cs="TimesNewRoman" w:hAnsi="TimesNewRoman" w:hint="eastAsia"/>
          <w:kern w:val="0"/>
          <w:sz w:val="32"/>
          <w:szCs w:val="32"/>
        </w:rPr>
        <w:t>2024年，淮北市</w:t>
      </w:r>
      <w:r>
        <w:rPr>
          <w:rFonts w:ascii="TimesNewRoman" w:eastAsia="仿宋_GB2312" w:cs="TimesNewRoman" w:hAnsi="TimesNewRoman"/>
          <w:bCs/>
          <w:sz w:val="32"/>
          <w:szCs w:val="32"/>
        </w:rPr>
        <w:t>价格认证中心</w:t>
      </w:r>
      <w:r>
        <w:rPr>
          <w:rFonts w:ascii="TimesNewRoman" w:eastAsia="仿宋_GB2312" w:cs="TimesNewRoman" w:hAnsi="TimesNewRoman" w:hint="eastAsia"/>
          <w:kern w:val="0"/>
          <w:sz w:val="32"/>
          <w:szCs w:val="32"/>
          <w:lang w:val="en-US" w:eastAsia="zh-CN"/>
        </w:rPr>
        <w:t>1</w:t>
      </w:r>
      <w:r>
        <w:rPr>
          <w:rFonts w:ascii="TimesNewRoman" w:eastAsia="仿宋_GB2312" w:cs="TimesNewRoman" w:hAnsi="TimesNewRoman" w:hint="eastAsia"/>
          <w:kern w:val="0"/>
          <w:sz w:val="32"/>
          <w:szCs w:val="32"/>
        </w:rPr>
        <w:t>个项目实行了绩效目标管理，涉及一般公共预算当年财政拨款</w:t>
      </w:r>
      <w:r>
        <w:rPr>
          <w:rFonts w:ascii="TimesNewRoman" w:eastAsia="仿宋_GB2312" w:cs="TimesNewRoman" w:hAnsi="TimesNewRoman" w:hint="eastAsia"/>
          <w:kern w:val="0"/>
          <w:sz w:val="32"/>
          <w:szCs w:val="32"/>
          <w:lang w:val="en-US" w:eastAsia="zh-CN"/>
        </w:rPr>
        <w:t>31.6</w:t>
      </w:r>
      <w:r>
        <w:rPr>
          <w:rFonts w:ascii="TimesNewRoman" w:eastAsia="仿宋_GB2312" w:cs="TimesNewRoman" w:hAnsi="TimesNewRoman" w:hint="eastAsia"/>
          <w:kern w:val="0"/>
          <w:sz w:val="32"/>
          <w:szCs w:val="32"/>
        </w:rPr>
        <w:t>万元、政府性基金预算当年财政拨款</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万元、财政专户管理资金当年安排</w:t>
      </w:r>
      <w:r>
        <w:rPr>
          <w:rFonts w:ascii="TimesNewRoman" w:eastAsia="仿宋_GB2312" w:cs="TimesNewRoman" w:hAnsi="TimesNewRoman" w:hint="eastAsia"/>
          <w:kern w:val="0"/>
          <w:sz w:val="32"/>
          <w:szCs w:val="32"/>
          <w:lang w:val="en-US" w:eastAsia="zh-CN"/>
        </w:rPr>
        <w:t>0</w:t>
      </w:r>
      <w:r>
        <w:rPr>
          <w:rFonts w:ascii="TimesNewRoman" w:eastAsia="仿宋_GB2312" w:cs="TimesNewRoman" w:hAnsi="TimesNewRoman" w:hint="eastAsia"/>
          <w:kern w:val="0"/>
          <w:sz w:val="32"/>
          <w:szCs w:val="32"/>
        </w:rPr>
        <w:t>万元。</w:t>
      </w:r>
    </w:p>
    <w:p>
      <w:pPr>
        <w:pStyle w:val="19"/>
        <w:adjustRightInd w:val="0"/>
        <w:snapToGrid w:val="0"/>
        <w:spacing w:line="560" w:lineRule="exact"/>
        <w:jc w:val="center"/>
        <w:rPr>
          <w:rFonts w:ascii="TimesNewRoman" w:eastAsia="黑体" w:cs="TimesNewRoman" w:hAnsi="TimesNewRoman"/>
          <w:bCs/>
          <w:sz w:val="36"/>
          <w:szCs w:val="36"/>
        </w:rPr>
      </w:pPr>
    </w:p>
    <w:p>
      <w:pPr>
        <w:pStyle w:val="19"/>
        <w:adjustRightInd w:val="0"/>
        <w:snapToGrid w:val="0"/>
        <w:spacing w:line="560" w:lineRule="exact"/>
        <w:jc w:val="center"/>
        <w:rPr>
          <w:rFonts w:ascii="TimesNewRoman" w:eastAsia="黑体" w:cs="TimesNewRoman" w:hAnsi="TimesNewRoman"/>
          <w:bCs/>
          <w:sz w:val="36"/>
          <w:szCs w:val="36"/>
        </w:rPr>
      </w:pPr>
      <w:r>
        <w:rPr>
          <w:rFonts w:ascii="TimesNewRoman" w:eastAsia="黑体" w:cs="TimesNewRoman" w:hAnsi="TimesNewRoman" w:hint="eastAsia"/>
          <w:bCs/>
          <w:sz w:val="36"/>
          <w:szCs w:val="36"/>
        </w:rPr>
        <w:t>第四部分 名词解释</w:t>
      </w:r>
    </w:p>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b/>
          <w:sz w:val="32"/>
          <w:szCs w:val="32"/>
        </w:rPr>
        <w:t>一、财政拨款收入：</w:t>
      </w:r>
      <w:r>
        <w:rPr>
          <w:rFonts w:ascii="TimesNewRoman" w:eastAsia="仿宋_GB2312" w:cs="TimesNewRoman" w:hAnsi="TimesNewRoman" w:hint="eastAsia"/>
          <w:sz w:val="32"/>
          <w:szCs w:val="32"/>
        </w:rPr>
        <w:t>指部门或单位从同级财政部门取得的财政预算资金。</w:t>
      </w:r>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b/>
          <w:sz w:val="32"/>
          <w:szCs w:val="32"/>
        </w:rPr>
        <w:t>二、事业收入：</w:t>
      </w:r>
      <w:r>
        <w:rPr>
          <w:rFonts w:ascii="TimesNewRoman" w:eastAsia="仿宋_GB2312" w:cs="TimesNewRoman" w:hAnsi="TimesNewRoman" w:hint="eastAsia"/>
          <w:sz w:val="32"/>
          <w:szCs w:val="32"/>
        </w:rPr>
        <w:t>指事业单位开展专业业务活动及辅助活动所取得的收入。</w:t>
      </w:r>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b/>
          <w:sz w:val="32"/>
          <w:szCs w:val="32"/>
        </w:rPr>
        <w:t>三、财政专户管理资金：</w:t>
      </w:r>
      <w:r>
        <w:rPr>
          <w:rFonts w:ascii="TimesNewRoman" w:eastAsia="仿宋_GB2312" w:cs="TimesNewRoman" w:hAnsi="TimesNewRoman" w:hint="eastAsia"/>
          <w:sz w:val="32"/>
          <w:szCs w:val="32"/>
        </w:rPr>
        <w:t>指按照非税收入管理相关规定，纳入财政专户管理的教育收费等。</w:t>
      </w:r>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b/>
          <w:sz w:val="32"/>
          <w:szCs w:val="32"/>
        </w:rPr>
        <w:t>四、事业单位经营收入：</w:t>
      </w:r>
      <w:r>
        <w:rPr>
          <w:rFonts w:ascii="TimesNewRoman" w:eastAsia="仿宋_GB2312" w:cs="TimesNewRoman" w:hAnsi="TimesNewRoman" w:hint="eastAsia"/>
          <w:sz w:val="32"/>
          <w:szCs w:val="32"/>
        </w:rPr>
        <w:t>指事业单位在专业业务活动及其辅助活动之外开展非独立核算经营活动取得的收入。</w:t>
      </w:r>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b/>
          <w:sz w:val="32"/>
          <w:szCs w:val="32"/>
        </w:rPr>
        <w:t>五、附属单位上缴收入：</w:t>
      </w:r>
      <w:r>
        <w:rPr>
          <w:rFonts w:ascii="TimesNewRoman" w:eastAsia="仿宋_GB2312" w:cs="TimesNewRoman" w:hAnsi="TimesNewRoman" w:hint="eastAsia"/>
          <w:sz w:val="32"/>
          <w:szCs w:val="32"/>
        </w:rPr>
        <w:t>本单位所属下级单位上缴给本单位的全部收入。</w:t>
      </w:r>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b/>
          <w:sz w:val="32"/>
          <w:szCs w:val="32"/>
        </w:rPr>
        <w:t>六、上年结转：</w:t>
      </w:r>
      <w:r>
        <w:rPr>
          <w:rFonts w:ascii="TimesNewRoman" w:eastAsia="仿宋_GB2312" w:cs="TimesNewRoman" w:hAnsi="TimesNewRoman" w:hint="eastAsia"/>
          <w:sz w:val="32"/>
          <w:szCs w:val="32"/>
        </w:rPr>
        <w:t>指以前年度安排、结转到本年仍按原用途继续使用的资金。</w:t>
      </w:r>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b/>
          <w:sz w:val="32"/>
          <w:szCs w:val="32"/>
        </w:rPr>
        <w:t>七、结转下年：</w:t>
      </w:r>
      <w:r>
        <w:rPr>
          <w:rFonts w:ascii="TimesNewRoman" w:eastAsia="仿宋_GB2312" w:cs="TimesNewRoman" w:hAnsi="TimesNewRoman" w:hint="eastAsia"/>
          <w:sz w:val="32"/>
          <w:szCs w:val="32"/>
        </w:rPr>
        <w:t>指以前年度预算安排、因客观条件发生变化无法按原计划实施，需以后年度按原用途继续使用的资金。</w:t>
      </w:r>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b/>
          <w:sz w:val="32"/>
          <w:szCs w:val="32"/>
        </w:rPr>
        <w:t>八、基本支出：</w:t>
      </w:r>
      <w:r>
        <w:rPr>
          <w:rFonts w:ascii="TimesNewRoman" w:eastAsia="仿宋_GB2312" w:cs="TimesNewRoman" w:hAnsi="TimesNewRoman" w:hint="eastAsia"/>
          <w:sz w:val="32"/>
          <w:szCs w:val="32"/>
        </w:rPr>
        <w:t>指为保障机构正常运转、完成日常工作任务而发生的人员支出和公用支出。</w:t>
      </w:r>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b/>
          <w:sz w:val="32"/>
          <w:szCs w:val="32"/>
        </w:rPr>
        <w:t>九、项目支出：</w:t>
      </w:r>
      <w:r>
        <w:rPr>
          <w:rFonts w:ascii="TimesNewRoman" w:eastAsia="仿宋_GB2312" w:cs="TimesNewRoman" w:hAnsi="TimesNewRoman" w:hint="eastAsia"/>
          <w:sz w:val="32"/>
          <w:szCs w:val="32"/>
        </w:rPr>
        <w:t>指在除基本支出之外的支出，主要用于完成特定的工作任务和事业发展目标。</w:t>
      </w:r>
    </w:p>
    <w:p>
      <w:pPr>
        <w:pStyle w:val="19"/>
        <w:adjustRightInd w:val="0"/>
        <w:snapToGrid w:val="0"/>
        <w:spacing w:line="560" w:lineRule="exact"/>
        <w:ind w:firstLineChars="196" w:firstLine="627"/>
        <w:rPr>
          <w:rFonts w:ascii="TimesNewRoman" w:eastAsia="仿宋_GB2312" w:cs="TimesNewRoman" w:hAnsi="TimesNewRoman"/>
          <w:sz w:val="32"/>
          <w:szCs w:val="32"/>
        </w:rPr>
      </w:pPr>
      <w:r>
        <w:rPr>
          <w:rFonts w:ascii="TimesNewRoman" w:eastAsia="仿宋_GB2312" w:cs="TimesNewRoman" w:hAnsi="TimesNewRoman" w:hint="eastAsia"/>
          <w:b/>
          <w:sz w:val="32"/>
          <w:szCs w:val="32"/>
        </w:rPr>
        <w:t xml:space="preserve">十、机关运行经费: </w:t>
      </w:r>
      <w:r>
        <w:rPr>
          <w:rFonts w:ascii="TimesNewRoman" w:eastAsia="仿宋_GB2312" w:cs="TimesNewRoman" w:hAnsi="TimesNewRoman"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304" w:right="1134" w:bottom="1304" w:left="1247" w:header="851" w:footer="992" w:gutter="0"/>
      <w:cols w:num="1" w:space="425"/>
      <w:docGrid w:type="lines" w:linePitch="312" w:charSpace="0"/>
    </w:sectPr>
  </w:body>
</w:document>
</file>

<file path=word/fontTable.xml><?xml version="1.0" encoding="utf-8"?>
<w:fonts xmlns:w="http://schemas.openxmlformats.org/wordprocessingml/2006/main" xmlns:r="http://schemas.openxmlformats.org/officeDocument/2006/relationships">
  <w:font w:name="TimesNewRoman">
    <w:altName w:val="Times New Roman"/>
    <w:panose1 w:val="00000000000000000000"/>
    <w:charset w:val="00"/>
    <w:family w:val="auto"/>
    <w:pitch w:val="variable"/>
    <w:sig w:usb0="00000000" w:usb1="00000000" w:usb2="00000029" w:usb3="00000000" w:csb0="600001FF" w:csb1="FFFF0000"/>
  </w:font>
  <w:font w:name="黑体">
    <w:panose1 w:val="02010609060101010101"/>
    <w:charset w:val="86"/>
    <w:family w:val="auto"/>
    <w:pitch w:val="variable"/>
    <w:sig w:usb0="800002BF" w:usb1="38CF7CFA" w:usb2="00000016" w:usb3="00000000" w:csb0="00040001" w:csb1="00000000"/>
  </w:font>
  <w:font w:name="方正小标宋简体">
    <w:panose1 w:val="02000000000000000000"/>
    <w:charset w:val="86"/>
    <w:family w:val="auto"/>
    <w:pitch w:val="variable"/>
    <w:sig w:usb0="00000001" w:usb1="08000000" w:usb2="00000000" w:usb3="00000000" w:csb0="00040000" w:csb1="00000000"/>
  </w:font>
  <w:font w:name="仿宋_GB2312">
    <w:altName w:val="仿宋"/>
    <w:panose1 w:val="02010609030101010101"/>
    <w:charset w:val="86"/>
    <w:family w:val="modern"/>
    <w:pitch w:val="variable"/>
    <w:sig w:usb0="00000000" w:usb1="00000000" w:usb2="00000010" w:usb3="00000000" w:csb0="00040000" w:csb1="00000000"/>
  </w:font>
  <w:font w:name="宋体">
    <w:panose1 w:val="02010600030101010101"/>
    <w:charset w:val="7A"/>
    <w:family w:val="auto"/>
    <w:pitch w:val="variable"/>
    <w:sig w:usb0="00000003" w:usb1="288F0000" w:usb2="00000006" w:usb3="00000000" w:csb0="00040001" w:csb1="00000000"/>
  </w:font>
  <w:font w:name="仿宋">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variable"/>
    <w:sig w:usb0="00000000" w:usb1="00000000" w:usb2="00000010" w:usb3="00000000" w:csb0="00040000" w:csb1="00000000"/>
  </w:font>
  <w:font w:name="Times New Roman">
    <w:panose1 w:val="02020603050405020304"/>
    <w:charset w:val="CC"/>
    <w:family w:val="roman"/>
    <w:pitch w:val="variable"/>
    <w:sig w:usb0="E0002EFF" w:usb1="C000785B" w:usb2="00000009" w:usb3="00000000" w:csb0="400001FF" w:csb1="FFFF0000"/>
  </w:font>
  <w:font w:name="Arial">
    <w:panose1 w:val="020B0604020202020204"/>
    <w:charset w:val="01"/>
    <w:family w:val="swiss"/>
    <w:pitch w:val="variable"/>
    <w:sig w:usb0="E0002EFF" w:usb1="C000785B" w:usb2="00000009" w:usb3="00000000" w:csb0="400001FF" w:csb1="FFFF0000"/>
  </w:font>
  <w:font w:name="Calibri">
    <w:panose1 w:val="020F0502020204030204"/>
    <w:charset w:val="00"/>
    <w:family w:val="swiss"/>
    <w:pitch w:val="variable"/>
    <w:sig w:usb0="E4002EFF" w:usb1="C000247B" w:usb2="00000009" w:usb3="00000000" w:csb0="2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docVars>
    <w:docVar w:name="commondata" w:val="eyJoZGlkIjoiNzM5OWU2YzVjOWZlMjk4MjUxMjk0Y2VjZDM4NGQzNjAifQ=="/>
    <w:docVar w:name="KSO_WPS_MARK_KEY" w:val="962b9768-b382-4a4f-bb21-3fd02b824479"/>
  </w:docVars>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qFormat/>
    <w:next w:val="15"/>
    <w:pPr>
      <w:widowControl w:val="0"/>
      <w:jc w:val="both"/>
    </w:pPr>
    <w:rPr>
      <w:rFonts w:ascii="Calibri" w:eastAsia="宋体" w:cs="Arial" w:hAnsi="Calibri"/>
      <w:kern w:val="2"/>
      <w:sz w:val="21"/>
      <w:szCs w:val="22"/>
      <w:lang w:val="en-US" w:eastAsia="zh-CN" w:bidi="ar-SA"/>
    </w:rPr>
  </w:style>
  <w:style w:type="paragraph" w:styleId="1">
    <w:name w:val="heading 1"/>
    <w:qFormat/>
    <w:basedOn w:val="0"/>
    <w:next w:val="0"/>
    <w:link w:val="1Char"/>
    <w:pPr>
      <w:keepNext/>
      <w:keepLines/>
      <w:spacing w:before="340" w:after="330" w:line="578" w:lineRule="auto"/>
      <w:outlineLvl w:val="0"/>
    </w:pPr>
    <w:rPr>
      <w:b/>
      <w:bCs/>
      <w:kern w:val="44"/>
      <w:sz w:val="44"/>
      <w:szCs w:val="44"/>
    </w:rPr>
  </w:style>
  <w:style w:type="character" w:customStyle="1" w:styleId="1Char">
    <w:name w:val="heading 1 Char"/>
    <w:basedOn w:val="10"/>
    <w:link w:val="1"/>
    <w:rPr>
      <w:rFonts w:ascii="Calibri" w:eastAsia="宋体" w:cs="Arial" w:hAnsi="Calibri"/>
      <w:b/>
      <w:bCs/>
      <w:kern w:val="44"/>
      <w:sz w:val="44"/>
      <w:szCs w:val="44"/>
      <w:lang w:val="en-US" w:eastAsia="zh-CN" w:bidi="ar-SA"/>
    </w:rPr>
  </w:style>
  <w:style w:type="paragraph" w:styleId="2">
    <w:name w:val="heading 2"/>
    <w:qFormat/>
    <w:basedOn w:val="0"/>
    <w:next w:val="0"/>
    <w:link w:val="2Char"/>
    <w:pPr>
      <w:keepNext/>
      <w:keepLines/>
      <w:spacing w:before="260" w:after="260" w:line="415" w:lineRule="auto"/>
      <w:outlineLvl w:val="1"/>
    </w:pPr>
    <w:rPr>
      <w:rFonts w:ascii="Times New Roman" w:eastAsia="黑体" w:hAnsi="Times New Roman"/>
      <w:b/>
      <w:bCs/>
      <w:sz w:val="32"/>
      <w:szCs w:val="32"/>
    </w:rPr>
  </w:style>
  <w:style w:type="character" w:customStyle="1" w:styleId="2Char">
    <w:name w:val="heading 2 Char"/>
    <w:basedOn w:val="10"/>
    <w:link w:val="2"/>
    <w:rPr>
      <w:rFonts w:ascii="Times New Roman" w:eastAsia="黑体" w:cs="Arial" w:hAnsi="Times New Roman"/>
      <w:b/>
      <w:bCs/>
      <w:kern w:val="2"/>
      <w:sz w:val="32"/>
      <w:szCs w:val="32"/>
      <w:lang w:val="en-US" w:eastAsia="zh-CN" w:bidi="ar-SA"/>
    </w:rPr>
  </w:style>
  <w:style w:type="paragraph" w:styleId="3">
    <w:name w:val="heading 3"/>
    <w:qFormat/>
    <w:basedOn w:val="0"/>
    <w:next w:val="0"/>
    <w:link w:val="3Char"/>
    <w:pPr>
      <w:keepNext/>
      <w:keepLines/>
      <w:spacing w:before="260" w:after="260" w:line="415" w:lineRule="auto"/>
      <w:outlineLvl w:val="2"/>
    </w:pPr>
    <w:rPr>
      <w:b/>
      <w:bCs/>
      <w:sz w:val="32"/>
      <w:szCs w:val="32"/>
    </w:rPr>
  </w:style>
  <w:style w:type="character" w:customStyle="1" w:styleId="3Char">
    <w:name w:val="heading 3 Char"/>
    <w:basedOn w:val="10"/>
    <w:link w:val="3"/>
    <w:rPr>
      <w:rFonts w:ascii="Calibri" w:eastAsia="宋体" w:cs="Arial" w:hAnsi="Calibri"/>
      <w:b/>
      <w:bCs/>
      <w:kern w:val="2"/>
      <w:sz w:val="32"/>
      <w:szCs w:val="32"/>
      <w:lang w:val="en-US" w:eastAsia="zh-CN" w:bidi="ar-SA"/>
    </w:rPr>
  </w:style>
  <w:style w:type="character" w:default="1" w:styleId="10">
    <w:name w:val="Default Paragraph Font"/>
    <w:qFormat/>
  </w:style>
  <w:style w:type="paragraph" w:styleId="15">
    <w:name w:val="Body Text Indent 2"/>
    <w:qFormat/>
    <w:basedOn w:val="0"/>
    <w:next w:val="0"/>
    <w:pPr>
      <w:ind w:firstLineChars="200" w:firstLine="200"/>
    </w:pPr>
    <w:rPr>
      <w:sz w:val="32"/>
      <w:szCs w:val="32"/>
    </w:rPr>
  </w:style>
  <w:style w:type="paragraph" w:styleId="16">
    <w:name w:val="Normal Indent"/>
    <w:qFormat/>
    <w:basedOn w:val="0"/>
    <w:next w:val="0"/>
    <w:pPr>
      <w:widowControl w:val="0"/>
      <w:ind w:firstLineChars="200" w:firstLine="200"/>
      <w:jc w:val="both"/>
    </w:pPr>
    <w:rPr>
      <w:rFonts w:ascii="Calibri" w:eastAsia="宋体" w:cs="Calibri" w:hAnsi="Calibri"/>
      <w:kern w:val="2"/>
      <w:sz w:val="21"/>
      <w:szCs w:val="21"/>
      <w:lang w:val="en-US" w:eastAsia="zh-CN" w:bidi="ar-SA"/>
    </w:rPr>
  </w:style>
  <w:style w:type="paragraph" w:styleId="17">
    <w:name w:val="footer"/>
    <w:qFormat/>
    <w:basedOn w:val="0"/>
    <w:pPr>
      <w:tabs>
        <w:tab w:val="center" w:pos="4153"/>
        <w:tab w:val="right" w:pos="8306"/>
      </w:tabs>
      <w:snapToGrid w:val="0"/>
      <w:jc w:val="left"/>
    </w:pPr>
    <w:rPr>
      <w:sz w:val="18"/>
      <w:szCs w:val="18"/>
    </w:rPr>
  </w:style>
  <w:style w:type="paragraph" w:styleId="18">
    <w:name w:val="header"/>
    <w:qFormat/>
    <w:basedOn w:val="0"/>
    <w:pPr>
      <w:pBdr>
        <w:bottom w:val="single" w:sz="6" w:space="1" w:color="auto"/>
      </w:pBdr>
      <w:tabs>
        <w:tab w:val="center" w:pos="4153"/>
        <w:tab w:val="right" w:pos="8306"/>
      </w:tabs>
      <w:snapToGrid w:val="0"/>
      <w:jc w:val="center"/>
    </w:pPr>
    <w:rPr>
      <w:sz w:val="18"/>
      <w:szCs w:val="18"/>
    </w:rPr>
  </w:style>
  <w:style w:type="paragraph" w:styleId="19">
    <w:name w:val="Normal (Web)"/>
    <w:qFormat/>
    <w:basedOn w:val="0"/>
    <w:pPr>
      <w:widowControl/>
      <w:spacing w:before="100" w:beforeAutospacing="1" w:after="100" w:afterAutospacing="1"/>
      <w:jc w:val="left"/>
    </w:pPr>
    <w:rPr>
      <w:rFonts w:ascii="宋体" w:eastAsia="宋体" w:cs="宋体" w:hAnsi="宋体"/>
      <w:kern w:val="0"/>
      <w:sz w:val="24"/>
      <w:szCs w:val="24"/>
    </w:rPr>
  </w:style>
  <w:style w:type="character" w:styleId="20">
    <w:name w:val="Strong"/>
    <w:qFormat/>
    <w:basedOn w:val="10"/>
    <w:rPr>
      <w:b/>
    </w:rPr>
  </w:style>
  <w:style w:type="paragraph" w:customStyle="1" w:styleId="21">
    <w:name w:val="p0"/>
    <w:qFormat/>
    <w:basedOn w:val="0"/>
    <w:pPr>
      <w:widowControl/>
    </w:pPr>
    <w:rPr>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1"/>
        </a:gradFill>
      </a:fillStyleLst>
      <a:lnStyleLst>
        <a:ln w="9525" cmpd="sng" cap="flat">
          <a:solidFill>
            <a:schemeClr val="phClr">
              <a:shade val="95000"/>
              <a:satMod val="105000"/>
            </a:schemeClr>
          </a:solidFill>
          <a:prstDash val="solid"/>
          <a:round/>
        </a:ln>
        <a:ln w="25400" cmpd="sng" cap="flat">
          <a:solidFill>
            <a:schemeClr val="phClr"/>
          </a:solidFill>
          <a:prstDash val="solid"/>
          <a:round/>
        </a:ln>
        <a:ln w="38100" cmpd="sng" cap="flat">
          <a:solidFill>
            <a:schemeClr val="phClr"/>
          </a:solidFill>
          <a:prstDash val="solid"/>
          <a:round/>
        </a:ln>
      </a:lnStyleLst>
      <a:effectStyleLst>
        <a:effectStyle>
          <a:effectLst>
            <a:outerShdw sx="100000" sy="100000" algn="b" rotWithShape="0" blurRad="40000" dist="20000" dir="5400000">
              <a:srgbClr val="000000">
                <a:alpha val="37647"/>
              </a:srgbClr>
            </a:outerShdw>
          </a:effectLst>
        </a:effectStyle>
        <a:effectStyle>
          <a:effectLst>
            <a:outerShdw sx="100000" sy="100000" algn="b" rotWithShape="0" blurRad="40000" dist="23000" dir="5400000">
              <a:srgbClr val="000000">
                <a:alpha val="34509"/>
              </a:srgbClr>
            </a:outerShdw>
          </a:effectLst>
        </a:effectStyle>
        <a:effectStyle>
          <a:effectLst>
            <a:outerShdw sx="100000" sy="100000" algn="b" rotWithShape="0" blurRad="40000" dist="23000" dir="5400000">
              <a:srgbClr val="000000">
                <a:alpha val="34509"/>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100000"/>
          </a:path>
          <a:tileRect r="-100000" b="-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479AF28F-0A1F-4559-8D23-2C5B2D0E2188}">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39</TotalTime>
  <Application>Yozo_Office27021597764231189</Application>
  <Pages>14</Pages>
  <Words>0</Words>
  <Characters>4571</Characters>
  <Lines>0</Lines>
  <Paragraphs>187</Paragraphs>
  <CharactersWithSpaces>6095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高畅</cp:lastModifiedBy>
  <cp:revision>3</cp:revision>
  <dcterms:created xsi:type="dcterms:W3CDTF">2023-01-30T01:51:00Z</dcterms:created>
  <dcterms:modified xsi:type="dcterms:W3CDTF">2024-03-07T03:05:34Z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D8F1D223DAB943E5BA8979FDFFE98CB8</vt:lpwstr>
  </property>
</Properties>
</file>