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C020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国家发展改革委关于进一步加强高等学校</w:t>
      </w:r>
      <w:r>
        <w:rPr>
          <w:rStyle w:val="5"/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学分制收费管理的通知</w:t>
      </w:r>
    </w:p>
    <w:p w14:paraId="10EC15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各省、自治区、直辖市发展改革委、物价局：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为规范高等学校收费行为，现就进一步加强高等学校学分制收费管理的有关问题通知如下：</w:t>
      </w:r>
    </w:p>
    <w:p w14:paraId="3A9939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一、高等学校实行学分制收费必须按规定程序报批</w:t>
      </w:r>
    </w:p>
    <w:p w14:paraId="23CAEC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等学校改按学分制收费，必须严格按照教育部、国家发展改革委、财政部《关于做好2005年高等学校收费工作有关问题的通知》（教财〔2005〕10号）规定，由省级教育行政部门提出方案，同级价格主管部门会同财政部门进行审核，并在召开听证会的基础上，报经省级人民政府批准后执行。凡未按规定程序报经省级人民政府批准的，高等学校不得自行改按学分制收费。</w:t>
      </w:r>
    </w:p>
    <w:p w14:paraId="5310C4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二、实行学分制收费的学费不得高于按学年制收费的总额</w:t>
      </w:r>
    </w:p>
    <w:p w14:paraId="1580AB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批准按照学分制收费的，学生完成学业所缴纳的学费总额不得高于实行学年制的学费总额。学生当年所缴纳的学费可根据选取学分所需的费用收取。改按学分制收费后，高等学校可以对补考后仍不及格、需要重新学习该门课程的学生收取学费，学费标准不得超过原来学习该门课程的费用标准。严禁高等学校以改按学分制收费为名，变相提高收费标准或收取其他名目的费用。</w:t>
      </w:r>
    </w:p>
    <w:p w14:paraId="3DBA5A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三、严格执行教育收费公示制度</w:t>
      </w:r>
    </w:p>
    <w:p w14:paraId="48D463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等学校要按照《国家计委、财政部、教育部关于印发〈教育收费公示制度〉的通知》(计价格〔2002〕792号）的有关规定，严格执行教育收费公示制度。学校要在招生简章中注明收费项目和收费标准，在校内要通过公示栏、公示牌、公示墙等方式，将收费项目、收费标准、收费资金的使用情况和12358价格投诉电话等内容进行公示，主动接受学生、家长和社会监督，增强收费的透明度。收费政策变动时，学校要及时变更公示内容，确保公示内容合法、有效。</w:t>
      </w:r>
    </w:p>
    <w:p w14:paraId="3EB281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四、加强对高等学校收费的监督检查</w:t>
      </w:r>
    </w:p>
    <w:p w14:paraId="360AB88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家对高等学校收费管理的政策规定一直是明确的，有关高等学校应不折不扣地严格执行。各级价格主管部门要加强对高等学校收费政策的宣传解释工作，帮助学校完善收费管理制度，认真受理群众对教育收费的政策咨询和投诉举报。对教育乱收费行为，各级价格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管部门要严肃查处，切实维护学生、家长的合法权益。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　　　　　　　　　　　　　　　　　　　　　　　　发展和改革委员会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二○○六年四月二十一日</w:t>
      </w:r>
    </w:p>
    <w:p w14:paraId="405EC2FD">
      <w:pPr>
        <w:rPr>
          <w:rFonts w:hint="default"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2024-12-09T07:11:59Z</dcterms:created>
  <dc:creator>di</dc:creator>
  <cp:lastModifiedBy>风之诺言</cp:lastModifiedBy>
  <dcterms:modified xsi:type="dcterms:W3CDTF">2024-12-09T07:14:54Z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9B5CBC9603494FF49B29102C4188BD8A_12</vt:lpwstr>
  </property>
</Properties>
</file>