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rPr>
          <w:rFonts w:hint="default" w:ascii="Times New Roman" w:hAnsi="Times New Roman" w:eastAsia="黑体" w:cs="Times New Roman"/>
          <w:szCs w:val="32"/>
        </w:rPr>
      </w:pPr>
      <w:r>
        <w:rPr>
          <w:rFonts w:hint="default" w:ascii="Times New Roman" w:hAnsi="Times New Roman" w:eastAsia="黑体" w:cs="Times New Roman"/>
          <w:szCs w:val="32"/>
        </w:rPr>
        <w:t>附件1-1</w:t>
      </w:r>
    </w:p>
    <w:p>
      <w:pPr/>
    </w:p>
    <w:p>
      <w:pPr/>
    </w:p>
    <w:p>
      <w:pPr/>
    </w:p>
    <w:p>
      <w:pPr/>
    </w:p>
    <w:p>
      <w:pPr/>
    </w:p>
    <w:p>
      <w:pPr/>
    </w:p>
    <w:p>
      <w:pPr/>
    </w:p>
    <w:p>
      <w:pPr/>
    </w:p>
    <w:p>
      <w:pPr>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淮北市</w:t>
      </w:r>
      <w:r>
        <w:rPr>
          <w:rFonts w:hint="eastAsia" w:ascii="方正小标宋简体" w:hAnsi="方正小标宋简体" w:eastAsia="方正小标宋简体" w:cs="方正小标宋简体"/>
          <w:b w:val="0"/>
          <w:bCs/>
          <w:sz w:val="44"/>
          <w:szCs w:val="44"/>
          <w:lang w:eastAsia="zh-CN"/>
        </w:rPr>
        <w:t>发展和改革委员会</w:t>
      </w:r>
    </w:p>
    <w:p>
      <w:pPr>
        <w:spacing w:line="560" w:lineRule="exact"/>
        <w:jc w:val="center"/>
        <w:rPr>
          <w:rFonts w:ascii="TimesNewRoman" w:hAnsi="TimesNewRoman" w:eastAsia="华文中宋" w:cs="TimesNewRoman"/>
          <w:b/>
          <w:sz w:val="44"/>
          <w:szCs w:val="44"/>
        </w:rPr>
      </w:pPr>
      <w:r>
        <w:rPr>
          <w:rFonts w:hint="eastAsia" w:ascii="方正小标宋简体" w:hAnsi="方正小标宋简体" w:eastAsia="方正小标宋简体" w:cs="方正小标宋简体"/>
          <w:b w:val="0"/>
          <w:bCs/>
          <w:sz w:val="44"/>
          <w:szCs w:val="44"/>
        </w:rPr>
        <w:t>2025年部门预算</w:t>
      </w:r>
    </w:p>
    <w:p>
      <w:pPr/>
    </w:p>
    <w:p>
      <w:pPr/>
    </w:p>
    <w:p>
      <w:pPr/>
    </w:p>
    <w:p>
      <w:pPr/>
    </w:p>
    <w:p>
      <w:pPr/>
    </w:p>
    <w:p>
      <w:pPr/>
    </w:p>
    <w:p>
      <w:pPr/>
    </w:p>
    <w:p>
      <w:pPr/>
    </w:p>
    <w:p>
      <w:pPr/>
    </w:p>
    <w:p>
      <w:pPr/>
    </w:p>
    <w:p>
      <w:pPr/>
    </w:p>
    <w:p>
      <w:pPr/>
    </w:p>
    <w:p>
      <w:pPr/>
    </w:p>
    <w:p>
      <w:pPr/>
    </w:p>
    <w:p>
      <w:pPr/>
    </w:p>
    <w:p>
      <w:pPr/>
    </w:p>
    <w:p>
      <w:pPr/>
    </w:p>
    <w:p>
      <w:pPr/>
    </w:p>
    <w:p>
      <w:pPr/>
    </w:p>
    <w:p>
      <w:pPr/>
    </w:p>
    <w:p>
      <w:pPr/>
    </w:p>
    <w:p>
      <w:pPr/>
    </w:p>
    <w:p>
      <w:pPr>
        <w:pStyle w:val="6"/>
        <w:adjustRightInd w:val="0"/>
        <w:snapToGrid w:val="0"/>
        <w:spacing w:line="560" w:lineRule="exact"/>
        <w:jc w:val="center"/>
        <w:rPr>
          <w:rFonts w:ascii="TimesNewRoman" w:hAnsi="TimesNewRoman" w:eastAsia="黑体" w:cs="TimesNewRoman"/>
          <w:bCs/>
          <w:sz w:val="44"/>
          <w:szCs w:val="44"/>
        </w:rPr>
      </w:pPr>
    </w:p>
    <w:p>
      <w:pPr>
        <w:pStyle w:val="6"/>
        <w:adjustRightInd w:val="0"/>
        <w:snapToGrid w:val="0"/>
        <w:spacing w:line="560" w:lineRule="exact"/>
        <w:jc w:val="center"/>
        <w:rPr>
          <w:rFonts w:ascii="TimesNewRoman" w:hAnsi="TimesNewRoman" w:eastAsia="黑体" w:cs="TimesNewRoman"/>
          <w:bCs/>
          <w:sz w:val="44"/>
          <w:szCs w:val="44"/>
        </w:rPr>
      </w:pPr>
      <w:r>
        <w:rPr>
          <w:rFonts w:hint="default" w:ascii="Times New Roman" w:hAnsi="Times New Roman" w:eastAsia="黑体" w:cs="Times New Roman"/>
          <w:bCs/>
          <w:sz w:val="44"/>
          <w:szCs w:val="44"/>
        </w:rPr>
        <w:t>2025年</w:t>
      </w:r>
      <w:r>
        <w:rPr>
          <w:rFonts w:hint="default" w:ascii="Times New Roman" w:hAnsi="Times New Roman" w:eastAsia="黑体" w:cs="Times New Roman"/>
          <w:bCs/>
          <w:sz w:val="44"/>
          <w:szCs w:val="44"/>
          <w:lang w:val="en-US" w:eastAsia="zh-CN"/>
        </w:rPr>
        <w:t>2</w:t>
      </w:r>
      <w:r>
        <w:rPr>
          <w:rFonts w:hint="default" w:ascii="Times New Roman" w:hAnsi="Times New Roman" w:eastAsia="黑体" w:cs="Times New Roman"/>
          <w:bCs/>
          <w:sz w:val="44"/>
          <w:szCs w:val="44"/>
        </w:rPr>
        <w:t>月</w:t>
      </w:r>
    </w:p>
    <w:p>
      <w:pPr/>
    </w:p>
    <w:p>
      <w:pPr>
        <w:pStyle w:val="6"/>
        <w:adjustRightInd w:val="0"/>
        <w:snapToGrid w:val="0"/>
        <w:spacing w:line="560" w:lineRule="exact"/>
        <w:jc w:val="both"/>
        <w:rPr>
          <w:rFonts w:hint="eastAsia" w:ascii="TimesNewRoman" w:hAnsi="TimesNewRoman" w:eastAsia="黑体" w:cs="TimesNewRoman"/>
          <w:bCs/>
          <w:sz w:val="44"/>
          <w:szCs w:val="44"/>
        </w:rPr>
      </w:pPr>
    </w:p>
    <w:p>
      <w:pPr>
        <w:pStyle w:val="6"/>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第一部分 部门概况</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1、主要职责</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2、部门预算构成</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2025年度主要工作任务</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 2025年部门预算表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2025年收支总表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2025年收入总表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2025年支出总表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2025年财政拨款收支总表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2025年一般公共预算支出表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2025年一般公共预算基本支出表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2025年政府性基金预算支出表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2025年国有资本经营预算支出表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2025年项目支出表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2025年政府采购支出表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2025年政府购买服务支出表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2025年通用资产配置支出表</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 2025年部门（单位）预算情况说明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1、关于2025年收支总表的说明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2、关于2025年收入总表的说明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3、关于2025年支出总表的说明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4、关于2025年财政拨款收支总表的说明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5、关于2025年一般公共预算支出表的说明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6、关于2025年一般公共预算基本支出表的说明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7、关于2025年政府性基金预算支出表的说明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8、关于2025年国有资本经营预算支出表的说明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9、关于2025年项目支出表的说明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10、关于2025年政府采购支出表的说明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11、关于2025年政府购买服务支出表的说明</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12、其他重要事项情况说明</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第四部分 名词解释</w:t>
      </w:r>
    </w:p>
    <w:p>
      <w:pPr>
        <w:pStyle w:val="6"/>
        <w:adjustRightInd w:val="0"/>
        <w:snapToGrid w:val="0"/>
        <w:spacing w:line="40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第五部分 其它公开事项</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2025年部门预算纳入绩效考评项目表</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bCs/>
          <w:sz w:val="32"/>
          <w:szCs w:val="32"/>
        </w:rPr>
        <w:t>2025年部门预算专项资金管理清单（专栏公开）</w:t>
      </w: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p>
    <w:p>
      <w:pPr>
        <w:pStyle w:val="6"/>
        <w:adjustRightInd w:val="0"/>
        <w:snapToGrid w:val="0"/>
        <w:spacing w:line="400" w:lineRule="exact"/>
        <w:ind w:firstLine="800" w:firstLineChars="250"/>
        <w:rPr>
          <w:rFonts w:hint="default" w:ascii="Times New Roman" w:hAnsi="Times New Roman" w:eastAsia="仿宋_GB2312" w:cs="Times New Roman"/>
          <w:bCs/>
          <w:sz w:val="32"/>
          <w:szCs w:val="32"/>
        </w:rPr>
      </w:pP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第一部分 部门概况</w:t>
      </w:r>
    </w:p>
    <w:p>
      <w:pPr>
        <w:rPr>
          <w:rFonts w:hint="default" w:ascii="Times New Roman" w:hAnsi="Times New Roman" w:cs="Times New Roman"/>
        </w:rPr>
      </w:pPr>
    </w:p>
    <w:p>
      <w:pPr>
        <w:pStyle w:val="6"/>
        <w:adjustRightInd w:val="0"/>
        <w:snapToGrid w:val="0"/>
        <w:spacing w:line="560" w:lineRule="exact"/>
        <w:ind w:firstLine="627" w:firstLineChars="196"/>
        <w:rPr>
          <w:rFonts w:hint="default" w:ascii="Times New Roman" w:hAnsi="Times New Roman" w:eastAsia="黑体" w:cs="Times New Roman"/>
          <w:bCs/>
          <w:sz w:val="32"/>
          <w:szCs w:val="32"/>
          <w:highlight w:val="yellow"/>
        </w:rPr>
      </w:pPr>
      <w:r>
        <w:rPr>
          <w:rFonts w:hint="default" w:ascii="Times New Roman" w:hAnsi="Times New Roman" w:eastAsia="黑体" w:cs="Times New Roman"/>
          <w:bCs/>
          <w:sz w:val="32"/>
          <w:szCs w:val="32"/>
        </w:rPr>
        <w:t>一</w:t>
      </w:r>
      <w:r>
        <w:rPr>
          <w:rFonts w:hint="default" w:ascii="Times New Roman" w:hAnsi="Times New Roman" w:eastAsia="黑体" w:cs="Times New Roman"/>
          <w:bCs/>
          <w:sz w:val="32"/>
          <w:szCs w:val="32"/>
          <w:highlight w:val="none"/>
        </w:rPr>
        <w:t>、主要职责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Cs w:val="32"/>
          <w:lang w:val="en-US" w:eastAsia="zh-CN"/>
        </w:rPr>
        <w:t xml:space="preserve">      </w:t>
      </w:r>
      <w:r>
        <w:rPr>
          <w:rFonts w:hint="default" w:ascii="Times New Roman" w:hAnsi="Times New Roman" w:eastAsia="仿宋_GB2312" w:cs="Times New Roman"/>
          <w:sz w:val="32"/>
          <w:szCs w:val="32"/>
        </w:rPr>
        <w:t>根据《中共安徽省委办公厅、安徽省人民政府办公厅关于印发〈淮北市机构改革方案〉的通知》（厅〔2019〕2号）和《中共淮北市委、淮北市人民政府关于市级机构改革的实施意见》（淮发〔2019〕2号）文件规定，</w:t>
      </w:r>
      <w:r>
        <w:rPr>
          <w:rFonts w:hint="default" w:ascii="Times New Roman" w:hAnsi="Times New Roman" w:eastAsia="仿宋_GB2312" w:cs="Times New Roman"/>
          <w:sz w:val="32"/>
          <w:szCs w:val="32"/>
          <w:lang w:eastAsia="zh-CN"/>
        </w:rPr>
        <w:t>淮北市发展和改革委员会</w:t>
      </w:r>
      <w:r>
        <w:rPr>
          <w:rFonts w:hint="default" w:ascii="Times New Roman" w:hAnsi="Times New Roman" w:eastAsia="仿宋_GB2312" w:cs="Times New Roman"/>
          <w:sz w:val="32"/>
          <w:szCs w:val="32"/>
        </w:rPr>
        <w:t>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（一）拟订并组织实施全市国民经济和社会发展战略、中长期规划和年度计划。牵头组织统一规划体系建设。负责市级专项规划、区域规划、空间规划和全市发展规划的统筹衔接。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（二）贯彻执行国民经济和社会发展、经济体制改革和对外开放的有关法律法规规章，起草有关地方性法规规章草案。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（三）提出全市加快建设现代化经济体系、推动高质量发展的目标、任务以及相关政策。贯彻落实重大战略规划、重大政策、重大工程等评估督导制度，提出相关调整建议。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四）统筹提出全市国民经济和社会发展主要目标，监测预测预警宏观经济和社会发展态势趋势，提出宏观调控政策建议。综合协调宏观经济政策，牵头研究宏观经济应对措施。研究经济运行中的重要问题并提出政策建议。参与拟订财政政策、金融政策和土地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五）指导推进和综合协调经济体制改革有关工作，提出相关改革建议。承担推进供给侧结构性改革有关工作。协调推进产权制度和要素市场化配置改革。推动完善相关经济制度和现代市场体系建设，会同相关部门组织实施市场准入负面清单制度。承担推进优化营商环境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（六）提出利用外资和境外投资的战略、规划、总量平衡和结构优化政策。落实“一带一路”建设相关工作。会同有关部门组织实施外商投资准入负面清单。承担外债管理有关工作。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七）负责投资综合管理，拟订全社会固定资产投资总规模、结构调控目标和政策，会同相关部门拟订政府投资项目审批权限和政府核准的固定资产投资项目目录。组织编制财政预算内固定资产年度投资计划，安排有关财政性建设资金，按规定权限审批、核准、审核重大项目。规划重大建设项目和生产力布局。拟订并推动落实鼓励民间投资政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八）推进落实区域协调发展战略、新型城镇化战略和重大政策，组织拟订相关区域规划和政策。贯彻实施长江三角洲区域一体化发展、长江经济带发展等国家重大区域发展战略。承担以工代赈相关工作。统筹协调区域合作和对口支援工作。组织编制并推动实施新型城镇化规划。指导县域经济发展有关工作。按规定负责开发区的有关工作。承担引江济淮工程相关工作。执行水库移民安置有关政策，编制移民后期扶持规划并组织实施。负责水库移民后期扶持资金的落实、后期扶持项目的初审转报和实施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九）组织拟订综合性产业政策。协调一二三产业发展重大问题并统筹衔接相关发展规划和重大政策。协调推进重大基础设施建设发展，组织拟订并推动实施服务业战略规划和重大政策。综合研判消费变动趋势，拟订实施促进消费的综合性政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推动实施创新驱动发展战略。会同相关部门拟订推进创新创业的规划和政策，提出创新发展和培育经济发展新动能的政策。会同相关部门规划布局重大科技基础设施。组织拟订并推动实施高技术产业和战略性新兴产业发展规划政策，做好重大技术装备攻关工程，协调产业升级、重大技术装备推广应用等方面的重大问题。对接合肥综合性国家科学中心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一）跟踪研判涉及经济安全等风险隐患，提出相关工作建议。按规定承担重点领域国家安全工作协调机制相关工作。负责重要商品总量平衡和宏观调控，提出重要工业品、原材料和重要农产品进出口调控意见并协调落实。会同有关部门拟订全市储备物资品种目录、总体发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二）负责社会发展与国民经济发展的政策衔接，协调有关重大问题。组织拟订社会发展战略、总体规划，统筹推进基本公共服务体系建设和收入分配制度改革，提出促进就业、完善社会保障与经济协调发展的政策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三）牵头开展社会信用体系建设，贯彻实施国家有关社会信用体系建设的法律法规，组织编制全市社会信用体系建设规划纲要。研究制订全市信用体系建设的规章、标准和政策措施。组织实施信用产品的市场培育和应用推广工作。承担信用信息咨询服务工作。开展信用体系建设宣传教育。指导县区和行业社会信用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四）推进实施可持续发展战略，推动生态文明建设和改革，协调生态环境保护与修复、能源资源节约和综合利用等工作。提出健全生态保护补偿机制的政策措施，综合协调环保产业和清洁生产促进有关工作。提出全市能源消费控制目标、任务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五）贯彻执行国家和省有关重要商品、服务和要素价格改革政策，落实国家和省有关价格、收费相关法规和政策，制定和调整市级管理的政府指导价、政府定价的商品和服务价格（收费）标准。依法实施价格听证价格公告制度。负责行政事业性收费管理及重要的公益性、公用事业价格（收费）管理，依法实施行政事业性收费统计报告制度。负责全市价格成本调查和成本监审工作。负责全市价格认定工作的指导、协调和监督管理。负责全市价格争议调解处理工作。承担市场价格监测预警预报和价格信息服务等工作。负责提出价格调控目标和政策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六）负责编制重点项目储备库。负责拟定全市重点项目投资计划，协调督查重大项目建设。负责编报省亿元以上重点项目。落实铁路项目的规划建设等各项工作。统筹协调我市铁路项目的可研、初步设计等前期工作的报批。协调铁路建设单位与地方各部门的关系，保障我市境内铁路建设项目顺利推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七）贯彻执行国家粮食流通和物资储备管理的法律法规规章和标准规范等。起草相关地方性法规草案，拟订相关地方标准和技术规范并组织实施。负责粮食流通行业管理，制定行业发展规划、政策，负责协调推进粮食产业发展有关工作。根据储备总体发展规划，统一负责全市储备基础设施建设和管理。拟订全市储备基础设施、粮食流通设施建设规划并组织实施，管理有关储备基础设施和粮食流通设施市级投资项目。负责全市粮食流通、加工行业安全生产工作的监督管理，承担市级物资储备承储单位安全生产的监管责任。负责对管理的政府储备、企业储备以及储备政策落实情况进行监督检查。负责粮食流通监督检查，负责粮食收购、储存、运输环节粮食质量安全和原粮卫生的监督管理。组织实施全市粮食库存检查工作。负责粮食和物资储备的对外合作与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八）组织编制全市重要物资储备规划和储备品种目录标准。根据储备总体发展规划和品种目录，组织实施全市重要物资和应急储备物资的收储、轮换和日常管理，落实有关动用计划和指令。管理粮食、棉花和食糖储备，负责市级储备粮棉行政管理。监测全市粮食和重要物资供求变化并预测预警，承担全市粮食流通总量平衡的具体工作。指导协调国家政策性粮食购销工作，建立跨地区粮食购销关系，协调产销区粮食余缺调剂。承担粮食安全省长责任制考核的具体工作。研究提出全市粮食流通和物资储备体制改革方案并组织实施。对市属国有粮食企业加强国有资产运营监管，履行国有粮食企业出资人职责。负责拟订有关粮食和物资储备财务管理、资产管理、审计监督等制度、办法并监督其执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十九）贯彻执行国家能源发展战略、规划、产业政策和法律法规规章，起草相关地方性法规草案。提出全市能源发展战略的建议，拟订能源发展规划和产业政策，推进能源体制改革，研究和协调能源发展和改革中的重大问题。组织实施煤炭、电力、石油、天然气、新能源和可再生能源等能源，以及炼油、煤制燃料和燃料乙醇的相关标准。按规定权限审批、核准、备案、审核能源固定资产投资项目。指导协调农村能源发展工作。负责能源行业节能和资源综合利用，参与研究全市能源消费总量控制目标建议，指导、监督能源消费总量控制有关工作。负责电力工业管理，承担电力生产安全管理有关工作。承担电力设施和电能保护的监督管理工作。依法主管全市石油、长输天然气管道保护工作。组织开展能源区域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（二十）完成市委、市政府交办的其他任务。</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二、部门预算构成</w:t>
      </w:r>
    </w:p>
    <w:p>
      <w:pPr>
        <w:pStyle w:val="6"/>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从预算单位构成看，</w:t>
      </w:r>
      <w:r>
        <w:rPr>
          <w:rFonts w:hint="default" w:ascii="Times New Roman" w:hAnsi="Times New Roman" w:eastAsia="仿宋_GB2312" w:cs="Times New Roman"/>
          <w:bCs/>
          <w:sz w:val="32"/>
          <w:szCs w:val="32"/>
        </w:rPr>
        <w:t>淮北市</w:t>
      </w:r>
      <w:r>
        <w:rPr>
          <w:rFonts w:hint="default" w:ascii="Times New Roman" w:hAnsi="Times New Roman" w:eastAsia="仿宋_GB2312" w:cs="Times New Roman"/>
          <w:bCs/>
          <w:sz w:val="32"/>
          <w:szCs w:val="32"/>
          <w:lang w:eastAsia="zh-CN"/>
        </w:rPr>
        <w:t>发展和改革委员会</w:t>
      </w:r>
      <w:r>
        <w:rPr>
          <w:rFonts w:hint="default" w:ascii="Times New Roman" w:hAnsi="Times New Roman" w:eastAsia="仿宋_GB2312" w:cs="Times New Roman"/>
          <w:sz w:val="32"/>
          <w:szCs w:val="32"/>
        </w:rPr>
        <w:t>2025年度部门预算包括委本级预算和委下属单位预算，纳入部门预算编制范围的预算单位共</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个，具体情况见下表。</w:t>
      </w:r>
    </w:p>
    <w:tbl>
      <w:tblPr>
        <w:tblStyle w:val="9"/>
        <w:tblW w:w="8540" w:type="dxa"/>
        <w:jc w:val="center"/>
        <w:tblInd w:w="108" w:type="dxa"/>
        <w:tblLayout w:type="fixed"/>
        <w:tblCellMar>
          <w:top w:w="0" w:type="dxa"/>
          <w:left w:w="0" w:type="dxa"/>
          <w:bottom w:w="0" w:type="dxa"/>
          <w:right w:w="0" w:type="dxa"/>
        </w:tblCellMar>
      </w:tblPr>
      <w:tblGrid>
        <w:gridCol w:w="854"/>
        <w:gridCol w:w="3416"/>
        <w:gridCol w:w="4270"/>
      </w:tblGrid>
      <w:tr>
        <w:tblPrEx>
          <w:tblLayout w:type="fixed"/>
          <w:tblCellMar>
            <w:top w:w="0" w:type="dxa"/>
            <w:left w:w="0" w:type="dxa"/>
            <w:bottom w:w="0" w:type="dxa"/>
            <w:right w:w="0" w:type="dxa"/>
          </w:tblCellMar>
        </w:tblPrEx>
        <w:trPr>
          <w:trHeight w:val="579" w:hRule="atLeast"/>
          <w:jc w:val="center"/>
        </w:trPr>
        <w:tc>
          <w:tcPr>
            <w:tcW w:w="8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序号</w:t>
            </w:r>
          </w:p>
        </w:tc>
        <w:tc>
          <w:tcPr>
            <w:tcW w:w="34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单位名称</w:t>
            </w:r>
          </w:p>
        </w:tc>
        <w:tc>
          <w:tcPr>
            <w:tcW w:w="4270" w:type="dxa"/>
            <w:tcBorders>
              <w:top w:val="single" w:color="auto" w:sz="8" w:space="0"/>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单位性质</w:t>
            </w:r>
          </w:p>
        </w:tc>
      </w:tr>
      <w:tr>
        <w:tblPrEx>
          <w:tblLayout w:type="fixed"/>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u w:val="single"/>
              </w:rPr>
            </w:pPr>
            <w:r>
              <w:rPr>
                <w:rFonts w:hint="default" w:ascii="Times New Roman" w:hAnsi="Times New Roman" w:cs="Times New Roman"/>
                <w:bCs/>
                <w:sz w:val="24"/>
              </w:rPr>
              <w:t>淮北市发展和改革委员会本级</w:t>
            </w:r>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hint="default" w:ascii="Times New Roman" w:hAnsi="Times New Roman" w:cs="Times New Roman"/>
                <w:sz w:val="24"/>
                <w:u w:val="single"/>
              </w:rPr>
            </w:pPr>
            <w:r>
              <w:rPr>
                <w:rFonts w:hint="default" w:ascii="Times New Roman" w:hAnsi="Times New Roman" w:cs="Times New Roman"/>
                <w:bCs/>
                <w:sz w:val="24"/>
              </w:rPr>
              <w:t>行政单位</w:t>
            </w:r>
          </w:p>
        </w:tc>
      </w:tr>
      <w:tr>
        <w:tblPrEx>
          <w:tblLayout w:type="fixed"/>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bCs/>
                <w:sz w:val="24"/>
              </w:rPr>
            </w:pPr>
            <w:r>
              <w:rPr>
                <w:rFonts w:hint="default" w:ascii="Times New Roman" w:hAnsi="Times New Roman" w:cs="Times New Roman"/>
                <w:bCs/>
                <w:sz w:val="24"/>
              </w:rPr>
              <w:t>淮北市重点建设项目办公室</w:t>
            </w:r>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hint="default" w:ascii="Times New Roman" w:hAnsi="Times New Roman" w:cs="Times New Roman"/>
                <w:sz w:val="24"/>
                <w:u w:val="single"/>
              </w:rPr>
            </w:pPr>
            <w:r>
              <w:rPr>
                <w:rFonts w:hint="default" w:ascii="Times New Roman" w:hAnsi="Times New Roman" w:cs="Times New Roman"/>
                <w:bCs/>
                <w:sz w:val="24"/>
              </w:rPr>
              <w:t>参照公务员法管理的事业单位</w:t>
            </w:r>
          </w:p>
        </w:tc>
      </w:tr>
      <w:tr>
        <w:tblPrEx>
          <w:tblLayout w:type="fixed"/>
          <w:tblCellMar>
            <w:top w:w="0" w:type="dxa"/>
            <w:left w:w="0" w:type="dxa"/>
            <w:bottom w:w="0" w:type="dxa"/>
            <w:right w:w="0" w:type="dxa"/>
          </w:tblCellMar>
        </w:tblPrEx>
        <w:trPr>
          <w:trHeight w:val="579" w:hRule="atLeast"/>
          <w:jc w:val="center"/>
        </w:trPr>
        <w:tc>
          <w:tcPr>
            <w:tcW w:w="85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3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560" w:lineRule="exact"/>
              <w:jc w:val="center"/>
              <w:rPr>
                <w:rFonts w:hint="default" w:ascii="Times New Roman" w:hAnsi="Times New Roman" w:cs="Times New Roman"/>
                <w:bCs/>
                <w:sz w:val="24"/>
              </w:rPr>
            </w:pPr>
            <w:r>
              <w:rPr>
                <w:rFonts w:hint="default" w:ascii="Times New Roman" w:hAnsi="Times New Roman" w:cs="Times New Roman"/>
                <w:sz w:val="24"/>
              </w:rPr>
              <w:t>淮北市价格认证中心</w:t>
            </w:r>
          </w:p>
        </w:tc>
        <w:tc>
          <w:tcPr>
            <w:tcW w:w="4270" w:type="dxa"/>
            <w:tcBorders>
              <w:top w:val="nil"/>
              <w:left w:val="nil"/>
              <w:bottom w:val="single" w:color="auto" w:sz="8" w:space="0"/>
              <w:right w:val="single" w:color="auto" w:sz="8" w:space="0"/>
            </w:tcBorders>
            <w:shd w:val="clear" w:color="auto" w:fill="FFFFFF"/>
            <w:vAlign w:val="center"/>
          </w:tcPr>
          <w:p>
            <w:pPr>
              <w:adjustRightInd w:val="0"/>
              <w:snapToGrid w:val="0"/>
              <w:spacing w:line="560" w:lineRule="exact"/>
              <w:jc w:val="center"/>
              <w:rPr>
                <w:rFonts w:hint="default" w:ascii="Times New Roman" w:hAnsi="Times New Roman" w:cs="Times New Roman"/>
                <w:sz w:val="24"/>
                <w:u w:val="single"/>
              </w:rPr>
            </w:pPr>
            <w:r>
              <w:rPr>
                <w:rFonts w:hint="default" w:ascii="Times New Roman" w:hAnsi="Times New Roman" w:cs="Times New Roman"/>
                <w:bCs/>
                <w:sz w:val="24"/>
              </w:rPr>
              <w:t>公益一类事业单位</w:t>
            </w:r>
          </w:p>
        </w:tc>
      </w:tr>
    </w:tbl>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w:t>
      </w:r>
      <w:r>
        <w:rPr>
          <w:rFonts w:hint="default" w:ascii="Times New Roman" w:hAnsi="Times New Roman" w:eastAsia="黑体" w:cs="Times New Roman"/>
          <w:bCs/>
          <w:sz w:val="32"/>
          <w:szCs w:val="32"/>
          <w:highlight w:val="none"/>
        </w:rPr>
        <w:t>2025年度主要工作任务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1、聚焦经济运行稳增长。持续巩固经济回升向好势头，咬定年度目标任务不放松，常态化开展形势分析研究，着力稳增长、稳预期。加强经济运行调度。深入落实经济运行、重点项目、开发区、服务业、“四上”企业等调度机制，高频开展经济形势监测分析。发挥经济运行工作专班作用，每月定期对全市主要经济指标和支撑性指标进行会商研判、查缺补漏，努力实现全年经济社会发展目标任务。落实“四上”企业培育工作联席会议制度，实施季度点评和年度考核，推动企业梯次成长。加强县区（园区）、镇（街道）经济运行分析调度，对存在薄弱环节的督促制定整改举措、补齐发展短板。切实抓好省考指标。聚焦市发改委承担的省考核指标逐项研判分析，分类施策，精准突破。针对单位GDP能耗降低率（非化石能源占能源消耗总量比重）等排名靠前的指标，继续保持和优化，确保持续领先。针对高技术产业发展等排名居中的指标，积极争取实现进位。针对GDP、民间投资等排名靠后的指标，逐个攻坚，尽快脱离后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聚焦项目建设增后劲。树牢“项目为王”理念，做好项目“增量、扩容、提质”文章，更好发挥重大项目带动作用，持续扩大有效益的投资。狠抓项目谋划。围绕中央预算内投资、超长期特别国债、“两重”“两新”、皖北潜力地区城镇化水平提升行动等政策支持方向，立足淮北资源禀赋、产业基础和区位条件，在科技攻关、产业升级、节能降碳、民生保障、新型基建、交通水利等领域，运用市场化思维，精选储备一批利当前、管长远的大项目、好项目。分类建立项目库，提高项目申报通过率，争取更多项目纳入国家“盘子”。编制印发2025年市本级政府性投资计划和全市重点项目投资计划。狠抓服务保障。健全闭环工作机制，强化服务意识，抓好要素保障，发挥重大项目要素保障工作专班作用，做好重大项目要素保障，做实项目前期工作，坚持“项目跟着规划走、资金和要素跟着项目走”，严格按照申报的建设内容和时限，及时破解项目建设中遇到的问题，推动项目早开工、早建设、早达效。狠抓项目调度。完善市领导统筹调度、行业主管部门协调调度、项目责任单位日常调度的分层分级常态化调度机制，深入开展“红黄绿”三灯预警，实行“一项目一策”现场协调服务，聚集重点领域、重点行业，加快项目建设进度，努力完成更多实物量。加快推进国安电厂二期、淮宿蚌、淮阜城际铁路、徐淮阜高速公路、西站片区基础设施等亿元以上在建项目建设，推动奇瑞新能源、国轩新能源、高铁西站站前基础设施等亿元以上项目开工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3、聚焦产业升级兴动能。坚持工业强市、产业兴市战略不动摇，发展壮大新兴产业，积极发展现代服务业，持续优化产业结构，不断塑造发展新动能新优势。加快新兴产业集群建设。聚焦新能源汽车及零部件、新材料等重点产业领域，积极开展“双招双引”，引进和培育一批具有市场竞争力和群主链主地位的领军企业，以及高层次创新创业团队和人才，争取更多人才团队纳入省重点扶持范畴。做大做强陶铝和铝基高端金属材料、先进高分子结构材料2个省级战新基地，实行“企业+产业+社会+政府”大兵团作战，推进产业链、创新链、资金链、人才链“四链”融合发展，深化与省属企业合作，举办铝箔创新发展论坛、能源电池材料产业大会等会展活动。全力推进能源基地建设。积极开展煤炭核增产能前期工作，改扩建任楼煤矿、袁店一井煤矿，新建黄集煤矿，3个项目总投资78亿元，预计新增煤炭产能370万吨。积极实施风电、光伏等可再生能源替代行动，加快推进续建和新开工新能源项目建设，力争2025年全市可再生能源装机规模新增70万千瓦，新增投资40亿元。积极推进临涣中利发电、国安电力煤电机组等容量替代项目前期工作，总投资60亿元，改造大唐淮北虎山电厂。实施“源网荷储”一体化项目，形成装机规模77万千瓦。加快推进宿州-淮北-萧县-砀山（淮北段）天然气管网项目建设。</w:t>
      </w:r>
      <w:r>
        <w:rPr>
          <w:rFonts w:hint="default" w:ascii="Times New Roman" w:hAnsi="Times New Roman" w:eastAsia="仿宋_GB2312" w:cs="Times New Roman"/>
          <w:sz w:val="32"/>
          <w:szCs w:val="32"/>
          <w:lang w:val="zh-CN" w:eastAsia="zh-CN"/>
        </w:rPr>
        <w:t>持续推动服务业锻长补短。强化服务业运行调度，压实主体责任，对存在问题及时下发工作提示单，适时提请政府召开专题推进会，逐项指标分析原因、研判对策。</w:t>
      </w:r>
      <w:r>
        <w:rPr>
          <w:rFonts w:hint="default" w:ascii="Times New Roman" w:hAnsi="Times New Roman" w:eastAsia="仿宋_GB2312" w:cs="Times New Roman"/>
          <w:sz w:val="32"/>
          <w:szCs w:val="32"/>
          <w:lang w:val="en-US" w:eastAsia="zh-CN"/>
        </w:rPr>
        <w:t>聚焦薄弱领域、空白行业，加大服务业重点领域项目招引力度，力争引进一批服务业大项目、好项目。加快推进淮北零碳智慧物流产业园、淮北老电厂夔牛天街、零碳智慧快递电商集散中心项目（相山区）等项目建设进度，积极推动淮北市粮食和物资储备库项目、濉溪县冷链物流中心、青龙山智慧物流园等项目开工建设。动态建立服务业发展龙头库、培育库、发展库，2025年力争龙头库库内企业100家、培育库库内企业30家、发展库30家。培育规上、省重点服务业企业15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4、聚焦开放合作激活力。深化高水平开放和深层次合作，充分发挥改革的突破和先导作用，实现各类发展要素的统筹兼顾，下好协调发展一盘棋。深度融入长三角一体化发展。持续开展对标沪苏浙行动，在产业协作、教育、省际产业合作园区等重点合作事项方面，进一步加强与沪苏浙对口对接、深度合作，立体式融入长三角一体化发展。加强与徐州市沟通对接，共商共推徐淮结对合作帮扶需求清单。持续推动《徐淮结对合作帮扶工作方案》确定的8个领域18个方面合作事项落实落地。加快推进徐州供水项目建设。落实《段园新型功能区高质量发展三年行动方案》，加快徐淮产业合作园和段园省际毗邻地区新型功能区建设，将段园打造成为淮北融长的“样板区”“先行区”。全力推动开发区改革。做好开发区体制机制改革工作，围绕2025年发展目标，加强开发区经济运行调度，推动解决园区发展中存在的问题，推动园区高质量发展；深化用人制度改革，持续落实全市开发区干部人事制度改革方案；不断深化“管委会+公司”改革，支持做大开发区开发运营公司资产规模、增进信用评级；纵深推进“亩均论英雄”改革，积极盘活闲置资产；落实酬绩效考核，持续提升园区内生动力。持续优化营商环境。实施高标准市场体系建设行动，加快推进要素市场化改革，进一步健全要素市场体系。深入落实市场准入负面清单制度，积极排查妨碍全国统一大市场建设典型案例。持续推进社会信用体系建设，探索“信易贷”等信用惠民便企产品，对各类守信主体提供公共服务便利和优惠。落实《淮北市天然气上下游价格联动机制实施方案》，推动下游终端销售价格随上游气源采购成本变化做同向调整。加快全市供热一张网建设，落实《关于建立工业蒸汽价格机制的意见（试行）》，规范供热各个环节的价格行为，保障价格合理、公开透明。积极推进沱浍河航道、萧濉新河航道、临涣船闸、韩村码头等航道水利项目建设，持续降低物流运输成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5、聚焦绿色低碳促转型。聚焦“绿色转型发展示范城市、国家重要新型综合能源基地”发展定位，坚定不移走生态优先、绿色发展之路，协同推进降碳减污扩绿增长取得新成效。统筹推进新型城镇化建设。积极推进东部新城、高铁西站片区、绿金湖西岸片区等建设，进一步拓展城市发展空间。突出运营前置，采取市场化的办法，对城市资产和要素优化配置，推进新城新区、特色园区建设，加快实施相山啤酒厂、大唐电厂等淮北老工业遗址开发利用等项目。优化公共服务，加快优质教育资源扩容提质，加大高端医疗资源供给。加快濉溪县省级新型城镇化试点县城建设，推进县区特色产业集群（基地）建设，加快发展县域特色经济。深入实施“双碳”战略。全面落实《淮北市碳达峰实施方案》，加快推动我市碳达峰重点任务落实和重大工程建设。加快发展绿色低碳产业，建立绿色低碳项目库，加强节能环保、碳减排技术、循环经济等领域的重点项目谋划、储备和建设。强化县区、园区用能预警，实行“一企一策”管理，推进电力等行业节能降碳，深挖企业节能减排潜力。持续推进采煤沉陷区、独立工矿区综合治理。“一区一策”编制已关闭煤矿未治理沉陷区治理方案，督促淮北矿业集团、皖北煤电集团等落实治理方案，推动在产煤矿“边开采、边治理”，完成2025年上报省拟采取工程方式治理任务5771.6亩。加快推进杜集区国家采煤沉陷区综合治理试点、濉溪县国家独立工矿区改造提升试点项目建设，推动百善镇雁鸣安置小区二期、百善镇丁楼村避险搬迁安置项目建设，积极争取2025年资源型地区转型方向中央预算内资金支持。加强与国开行安徽分行协调对接，为符合条件的项目争取贷款支持。</w:t>
      </w:r>
    </w:p>
    <w:p>
      <w:pPr>
        <w:rPr>
          <w:rFonts w:hint="default" w:ascii="Times New Roman" w:hAnsi="Times New Roman" w:cs="Times New Roman"/>
        </w:rPr>
      </w:pPr>
      <w:r>
        <w:rPr>
          <w:rFonts w:hint="default" w:ascii="Times New Roman" w:hAnsi="Times New Roman" w:eastAsia="仿宋_GB2312" w:cs="Times New Roman"/>
          <w:sz w:val="32"/>
          <w:szCs w:val="32"/>
          <w:lang w:val="en-US" w:eastAsia="zh-CN"/>
        </w:rPr>
        <w:t xml:space="preserve">    6、聚焦共建共享惠民生。</w:t>
      </w:r>
      <w:r>
        <w:rPr>
          <w:rFonts w:hint="default" w:ascii="Times New Roman" w:hAnsi="Times New Roman" w:eastAsia="仿宋_GB2312" w:cs="Times New Roman"/>
          <w:b w:val="0"/>
          <w:bCs w:val="0"/>
          <w:color w:val="000000"/>
          <w:kern w:val="0"/>
          <w:sz w:val="32"/>
          <w:szCs w:val="32"/>
          <w:u w:val="none" w:color="auto"/>
          <w:lang w:val="en-US" w:eastAsia="zh-CN" w:bidi="ar-SA"/>
        </w:rPr>
        <w:t>坚持以人为本，在发展中保障和改善民生，着力让人民群众获得感、幸福感、安全感更加充实、更有保障、更可持续。着力办好民生实事。围绕社会服务设施等国家支持方向，谋深谋实一批民生项目，争取更多项目获批中央预算内资金支持。严格对照省下达我市民生实事的目标任务清单，对标对表抓好落实，着力解决民生项目建设过程中的“痛点”和“堵点”，持续长久发挥项目的社会效益，开展社情民意调查，通过“民声呼应”平台、网络媒体及时掌握群众对民生实事的成效评价和意见建议，切实提高民众满意度，推动民生实事高质量实施。着力保障粮食能源安全。</w:t>
      </w:r>
      <w:r>
        <w:rPr>
          <w:rFonts w:hint="default" w:ascii="Times New Roman" w:hAnsi="Times New Roman" w:eastAsia="仿宋_GB2312" w:cs="Times New Roman"/>
          <w:b w:val="0"/>
          <w:bCs w:val="0"/>
          <w:color w:val="000000"/>
          <w:kern w:val="0"/>
          <w:sz w:val="32"/>
          <w:szCs w:val="32"/>
          <w:u w:val="none" w:color="auto"/>
          <w:lang w:eastAsia="zh-CN" w:bidi="ar-SA"/>
        </w:rPr>
        <w:t>全面落实粮食安全考核责任制，做好粮食</w:t>
      </w:r>
      <w:r>
        <w:rPr>
          <w:rFonts w:hint="default" w:ascii="Times New Roman" w:hAnsi="Times New Roman" w:eastAsia="仿宋_GB2312" w:cs="Times New Roman"/>
          <w:b w:val="0"/>
          <w:bCs w:val="0"/>
          <w:color w:val="000000"/>
          <w:kern w:val="0"/>
          <w:sz w:val="32"/>
          <w:szCs w:val="32"/>
          <w:u w:val="none" w:color="auto"/>
          <w:lang w:val="en-US" w:eastAsia="zh-CN" w:bidi="ar-SA"/>
        </w:rPr>
        <w:t>收储</w:t>
      </w:r>
      <w:r>
        <w:rPr>
          <w:rFonts w:hint="default" w:ascii="Times New Roman" w:hAnsi="Times New Roman" w:eastAsia="仿宋_GB2312" w:cs="Times New Roman"/>
          <w:b w:val="0"/>
          <w:bCs w:val="0"/>
          <w:color w:val="000000"/>
          <w:kern w:val="0"/>
          <w:sz w:val="32"/>
          <w:szCs w:val="32"/>
          <w:u w:val="none" w:color="auto"/>
          <w:lang w:eastAsia="zh-CN" w:bidi="ar-SA"/>
        </w:rPr>
        <w:t>工作。完善地方粮食储备管理，</w:t>
      </w:r>
      <w:r>
        <w:rPr>
          <w:rFonts w:hint="default" w:ascii="Times New Roman" w:hAnsi="Times New Roman" w:eastAsia="仿宋_GB2312" w:cs="Times New Roman"/>
          <w:b w:val="0"/>
          <w:bCs w:val="0"/>
          <w:color w:val="000000"/>
          <w:kern w:val="0"/>
          <w:sz w:val="32"/>
          <w:szCs w:val="32"/>
          <w:u w:val="none" w:color="auto"/>
          <w:lang w:val="en-US" w:eastAsia="zh-CN" w:bidi="ar-SA"/>
        </w:rPr>
        <w:t>2025年</w:t>
      </w:r>
      <w:r>
        <w:rPr>
          <w:rFonts w:hint="default" w:ascii="Times New Roman" w:hAnsi="Times New Roman" w:eastAsia="仿宋_GB2312" w:cs="Times New Roman"/>
          <w:b w:val="0"/>
          <w:bCs w:val="0"/>
          <w:color w:val="000000"/>
          <w:kern w:val="0"/>
          <w:sz w:val="32"/>
          <w:szCs w:val="32"/>
          <w:u w:val="none" w:color="auto"/>
          <w:lang w:eastAsia="zh-CN" w:bidi="ar-SA"/>
        </w:rPr>
        <w:t>计划完成市级储备小麦1</w:t>
      </w:r>
      <w:r>
        <w:rPr>
          <w:rFonts w:hint="default" w:ascii="Times New Roman" w:hAnsi="Times New Roman" w:eastAsia="仿宋_GB2312" w:cs="Times New Roman"/>
          <w:b w:val="0"/>
          <w:bCs w:val="0"/>
          <w:color w:val="000000"/>
          <w:kern w:val="0"/>
          <w:sz w:val="32"/>
          <w:szCs w:val="32"/>
          <w:u w:val="none" w:color="auto"/>
          <w:lang w:val="en-US" w:eastAsia="zh-CN" w:bidi="ar-SA"/>
        </w:rPr>
        <w:t>.</w:t>
      </w:r>
      <w:r>
        <w:rPr>
          <w:rFonts w:hint="default" w:ascii="Times New Roman" w:hAnsi="Times New Roman" w:eastAsia="仿宋_GB2312" w:cs="Times New Roman"/>
          <w:b w:val="0"/>
          <w:bCs w:val="0"/>
          <w:color w:val="000000"/>
          <w:kern w:val="0"/>
          <w:sz w:val="32"/>
          <w:szCs w:val="32"/>
          <w:u w:val="none" w:color="auto"/>
          <w:lang w:eastAsia="zh-CN" w:bidi="ar-SA"/>
        </w:rPr>
        <w:t>81万吨以及县级储备小麦1</w:t>
      </w:r>
      <w:r>
        <w:rPr>
          <w:rFonts w:hint="default" w:ascii="Times New Roman" w:hAnsi="Times New Roman" w:eastAsia="仿宋_GB2312" w:cs="Times New Roman"/>
          <w:b w:val="0"/>
          <w:bCs w:val="0"/>
          <w:color w:val="000000"/>
          <w:kern w:val="0"/>
          <w:sz w:val="32"/>
          <w:szCs w:val="32"/>
          <w:u w:val="none" w:color="auto"/>
          <w:lang w:val="en-US" w:eastAsia="zh-CN" w:bidi="ar-SA"/>
        </w:rPr>
        <w:t>.70</w:t>
      </w:r>
      <w:r>
        <w:rPr>
          <w:rFonts w:hint="default" w:ascii="Times New Roman" w:hAnsi="Times New Roman" w:eastAsia="仿宋_GB2312" w:cs="Times New Roman"/>
          <w:b w:val="0"/>
          <w:bCs w:val="0"/>
          <w:color w:val="000000"/>
          <w:kern w:val="0"/>
          <w:sz w:val="32"/>
          <w:szCs w:val="32"/>
          <w:u w:val="none" w:color="auto"/>
          <w:lang w:eastAsia="zh-CN" w:bidi="ar-SA"/>
        </w:rPr>
        <w:t>吨的轮换计划。做好160万元救灾物资招标采购和验收入库工作，加强市救灾物资储备库的日常管理和物资维护。做好电力、能源项目投资，加快大唐虎山电厂储能电站、濉溪韩村储能电站（一期）等项目推进工作。</w:t>
      </w:r>
      <w:r>
        <w:rPr>
          <w:rFonts w:hint="default" w:ascii="Times New Roman" w:hAnsi="Times New Roman" w:eastAsia="仿宋_GB2312" w:cs="Times New Roman"/>
          <w:b w:val="0"/>
          <w:bCs w:val="0"/>
          <w:color w:val="000000"/>
          <w:kern w:val="0"/>
          <w:sz w:val="32"/>
          <w:szCs w:val="32"/>
          <w:u w:val="none" w:color="auto"/>
          <w:lang w:val="en-US" w:eastAsia="zh-CN" w:bidi="ar-SA"/>
        </w:rPr>
        <w:t>着力强化市场保供稳价。完善能源保供应急机制，优化落实煤炭、电力、天然气保</w:t>
      </w:r>
      <w:r>
        <w:rPr>
          <w:rFonts w:hint="default" w:ascii="Times New Roman" w:hAnsi="Times New Roman" w:eastAsia="仿宋_GB2312" w:cs="Times New Roman"/>
          <w:b w:val="0"/>
          <w:bCs w:val="0"/>
          <w:color w:val="000000"/>
          <w:sz w:val="32"/>
          <w:szCs w:val="32"/>
          <w:u w:val="none" w:color="auto"/>
          <w:lang w:val="en-US" w:eastAsia="zh-CN" w:bidi="ar-SA"/>
        </w:rPr>
        <w:t>供方案，加强电力需求侧管理，保障能源顺利迎峰度夏、度冬。积极推进第二气源前期工作。</w:t>
      </w:r>
      <w:r>
        <w:rPr>
          <w:rFonts w:hint="default" w:ascii="Times New Roman" w:hAnsi="Times New Roman" w:eastAsia="仿宋_GB2312" w:cs="Times New Roman"/>
          <w:b w:val="0"/>
          <w:bCs w:val="0"/>
          <w:color w:val="000000"/>
          <w:sz w:val="32"/>
          <w:szCs w:val="32"/>
          <w:u w:val="none" w:color="auto"/>
          <w:lang w:bidi="ar-SA"/>
        </w:rPr>
        <w:t>密切跟踪监测与群众密切相关的肉、禽、蛋、菜等副食品价格变化</w:t>
      </w:r>
      <w:r>
        <w:rPr>
          <w:rFonts w:hint="default" w:ascii="Times New Roman" w:hAnsi="Times New Roman" w:eastAsia="仿宋_GB2312" w:cs="Times New Roman"/>
          <w:b w:val="0"/>
          <w:bCs w:val="0"/>
          <w:color w:val="000000"/>
          <w:sz w:val="32"/>
          <w:szCs w:val="32"/>
          <w:u w:val="none" w:color="auto"/>
          <w:lang w:eastAsia="zh-CN" w:bidi="ar-SA"/>
        </w:rPr>
        <w:t>，</w:t>
      </w:r>
      <w:r>
        <w:rPr>
          <w:rFonts w:hint="default" w:ascii="Times New Roman" w:hAnsi="Times New Roman" w:eastAsia="仿宋_GB2312" w:cs="Times New Roman"/>
          <w:b w:val="0"/>
          <w:bCs w:val="0"/>
          <w:color w:val="000000"/>
          <w:sz w:val="32"/>
          <w:szCs w:val="32"/>
          <w:u w:val="none" w:color="auto"/>
          <w:lang w:bidi="ar-SA"/>
        </w:rPr>
        <w:t>做好价格监测预警分析</w:t>
      </w:r>
      <w:r>
        <w:rPr>
          <w:rFonts w:hint="default" w:ascii="Times New Roman" w:hAnsi="Times New Roman" w:eastAsia="仿宋_GB2312" w:cs="Times New Roman"/>
          <w:b w:val="0"/>
          <w:bCs w:val="0"/>
          <w:color w:val="000000"/>
          <w:sz w:val="32"/>
          <w:szCs w:val="32"/>
          <w:u w:val="none" w:color="auto"/>
          <w:lang w:eastAsia="zh-CN" w:bidi="ar-SA"/>
        </w:rPr>
        <w:t>，确保市场重要民生商品和大宗商品价格平稳，及时足额向困难群众发放价格临时补贴。</w:t>
      </w:r>
      <w:r>
        <w:rPr>
          <w:rFonts w:hint="default" w:ascii="Times New Roman" w:hAnsi="Times New Roman" w:eastAsia="仿宋_GB2312" w:cs="Times New Roman"/>
          <w:b w:val="0"/>
          <w:bCs w:val="0"/>
          <w:color w:val="000000"/>
          <w:sz w:val="32"/>
          <w:szCs w:val="32"/>
          <w:u w:val="none" w:color="auto"/>
          <w:lang w:bidi="ar-SA"/>
        </w:rPr>
        <w:t>建立稳定“菜篮子”价格长效机制，</w:t>
      </w:r>
      <w:r>
        <w:rPr>
          <w:rFonts w:hint="default" w:ascii="Times New Roman" w:hAnsi="Times New Roman" w:eastAsia="仿宋_GB2312" w:cs="Times New Roman"/>
          <w:b w:val="0"/>
          <w:bCs w:val="0"/>
          <w:color w:val="000000"/>
          <w:sz w:val="32"/>
          <w:szCs w:val="32"/>
          <w:u w:val="none" w:color="auto"/>
          <w:lang w:eastAsia="zh-CN" w:bidi="ar-SA"/>
        </w:rPr>
        <w:t>加强猪肉等生活物资储备调节，保障市场稳定供应。</w:t>
      </w: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第二部分 2025年部门预算表</w:t>
      </w:r>
    </w:p>
    <w:p>
      <w:pPr>
        <w:pStyle w:val="6"/>
        <w:adjustRightInd w:val="0"/>
        <w:snapToGrid w:val="0"/>
        <w:spacing w:line="560" w:lineRule="exact"/>
        <w:ind w:firstLine="627" w:firstLineChars="196"/>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见附件1-2</w:t>
      </w:r>
    </w:p>
    <w:p>
      <w:pPr>
        <w:rPr>
          <w:rFonts w:hint="default" w:ascii="Times New Roman" w:hAnsi="Times New Roman" w:cs="Times New Roman"/>
        </w:rPr>
      </w:pPr>
      <w:r>
        <w:rPr>
          <w:rFonts w:hint="default" w:ascii="Times New Roman" w:hAnsi="Times New Roman" w:cs="Times New Roman"/>
        </w:rPr>
        <w:t xml:space="preserve">                                        </w:t>
      </w:r>
    </w:p>
    <w:p>
      <w:pPr>
        <w:pStyle w:val="6"/>
        <w:adjustRightInd w:val="0"/>
        <w:snapToGrid w:val="0"/>
        <w:spacing w:line="56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bCs/>
          <w:sz w:val="36"/>
          <w:szCs w:val="36"/>
        </w:rPr>
        <w:t>第三部分 2025年部门预算情况说明</w:t>
      </w:r>
    </w:p>
    <w:p>
      <w:pPr>
        <w:rPr>
          <w:rFonts w:hint="default" w:ascii="Times New Roman" w:hAnsi="Times New Roman" w:cs="Times New Roman"/>
        </w:rPr>
      </w:pP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一、关于2025年收支总表的说明</w:t>
      </w:r>
    </w:p>
    <w:p>
      <w:pPr>
        <w:pStyle w:val="6"/>
        <w:adjustRightInd w:val="0"/>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按照综合预算的原则，淮北市发展和改革委员会所有收入和支出均纳入部门预算管理。淮北市发展和改革委员会2025年收支总预算</w:t>
      </w:r>
      <w:r>
        <w:rPr>
          <w:rFonts w:hint="default" w:ascii="Times New Roman" w:hAnsi="Times New Roman" w:eastAsia="仿宋_GB2312" w:cs="Times New Roman"/>
          <w:sz w:val="32"/>
          <w:szCs w:val="32"/>
          <w:lang w:val="en-US" w:eastAsia="zh-CN"/>
        </w:rPr>
        <w:t>13770.95</w:t>
      </w:r>
      <w:r>
        <w:rPr>
          <w:rFonts w:hint="default" w:ascii="Times New Roman" w:hAnsi="Times New Roman" w:eastAsia="仿宋_GB2312" w:cs="Times New Roman"/>
          <w:sz w:val="32"/>
          <w:szCs w:val="32"/>
        </w:rPr>
        <w:t>万元，收入全部是一般公共预算拨款收入13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sz w:val="32"/>
          <w:szCs w:val="32"/>
        </w:rPr>
        <w:t>万元，支出包括：一般公共服务支出、社会保障和就业支出、卫生健康支出、交通运输支出、住房保障支出、粮油物资储备支出。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二、关于2025年收入总表的说明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2025年收入预算</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万元，其中，本年收入</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（一）本年收入</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主要包括：一般公共预算拨款收入</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%，比2024年预算增加</w:t>
      </w:r>
      <w:r>
        <w:rPr>
          <w:rFonts w:hint="default" w:ascii="Times New Roman" w:hAnsi="Times New Roman" w:eastAsia="仿宋_GB2312" w:cs="Times New Roman"/>
          <w:kern w:val="0"/>
          <w:sz w:val="32"/>
          <w:szCs w:val="32"/>
          <w:lang w:val="en-US" w:eastAsia="zh-CN"/>
        </w:rPr>
        <w:t>697.56</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5.34</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人员经费增加、项目资金增加</w:t>
      </w:r>
      <w:r>
        <w:rPr>
          <w:rFonts w:hint="default" w:ascii="Times New Roman" w:hAnsi="Times New Roman" w:eastAsia="仿宋_GB2312" w:cs="Times New Roman"/>
          <w:kern w:val="0"/>
          <w:sz w:val="32"/>
          <w:szCs w:val="32"/>
        </w:rPr>
        <w:t>；政府性基金预算拨款收入0万元，占0%，与2023年预算相较无变化</w:t>
      </w:r>
      <w:r>
        <w:rPr>
          <w:rFonts w:hint="default" w:ascii="Times New Roman" w:hAnsi="Times New Roman" w:eastAsia="仿宋_GB2312" w:cs="Times New Roman"/>
          <w:kern w:val="0"/>
          <w:sz w:val="32"/>
          <w:szCs w:val="32"/>
          <w:lang w:eastAsia="zh-CN"/>
        </w:rPr>
        <w:t>，原因主要是无</w:t>
      </w:r>
      <w:r>
        <w:rPr>
          <w:rFonts w:hint="default" w:ascii="Times New Roman" w:hAnsi="Times New Roman" w:eastAsia="仿宋_GB2312" w:cs="Times New Roman"/>
          <w:kern w:val="0"/>
          <w:sz w:val="32"/>
          <w:szCs w:val="32"/>
        </w:rPr>
        <w:t>政府性基金；财政专户管理资金收入0万元，占0%，与2023年预算相较无变化</w:t>
      </w:r>
      <w:r>
        <w:rPr>
          <w:rFonts w:hint="default" w:ascii="Times New Roman" w:hAnsi="Times New Roman" w:eastAsia="仿宋_GB2312" w:cs="Times New Roman"/>
          <w:kern w:val="0"/>
          <w:sz w:val="32"/>
          <w:szCs w:val="32"/>
          <w:lang w:eastAsia="zh-CN"/>
        </w:rPr>
        <w:t>，原因主要是无</w:t>
      </w:r>
      <w:r>
        <w:rPr>
          <w:rFonts w:hint="default" w:ascii="Times New Roman" w:hAnsi="Times New Roman" w:eastAsia="仿宋_GB2312" w:cs="Times New Roman"/>
          <w:kern w:val="0"/>
          <w:sz w:val="32"/>
          <w:szCs w:val="32"/>
        </w:rPr>
        <w:t>财政专户管理资金。</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三、关于2025年支出总表的说明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2025年支出预算</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697.56</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5.34</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人员经费增加、项目资金增加</w:t>
      </w:r>
      <w:r>
        <w:rPr>
          <w:rFonts w:hint="default" w:ascii="Times New Roman" w:hAnsi="Times New Roman" w:eastAsia="仿宋_GB2312" w:cs="Times New Roman"/>
          <w:kern w:val="0"/>
          <w:sz w:val="32"/>
          <w:szCs w:val="32"/>
        </w:rPr>
        <w:t>。其中，基本支出</w:t>
      </w:r>
      <w:r>
        <w:rPr>
          <w:rFonts w:hint="default" w:ascii="Times New Roman" w:hAnsi="Times New Roman" w:eastAsia="仿宋_GB2312" w:cs="Times New Roman"/>
          <w:kern w:val="0"/>
          <w:sz w:val="32"/>
          <w:szCs w:val="32"/>
          <w:lang w:val="en-US" w:eastAsia="zh-CN"/>
        </w:rPr>
        <w:t>2828.25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20.54</w:t>
      </w:r>
      <w:r>
        <w:rPr>
          <w:rFonts w:hint="default" w:ascii="Times New Roman" w:hAnsi="Times New Roman" w:eastAsia="仿宋_GB2312" w:cs="Times New Roman"/>
          <w:kern w:val="0"/>
          <w:sz w:val="32"/>
          <w:szCs w:val="32"/>
        </w:rPr>
        <w:t>%，主要用于保障</w:t>
      </w:r>
      <w:r>
        <w:rPr>
          <w:rFonts w:hint="default" w:ascii="Times New Roman" w:hAnsi="Times New Roman" w:eastAsia="仿宋_GB2312" w:cs="Times New Roman"/>
          <w:kern w:val="0"/>
          <w:sz w:val="32"/>
          <w:szCs w:val="32"/>
          <w:lang w:eastAsia="zh-CN"/>
        </w:rPr>
        <w:t>人员经费、</w:t>
      </w:r>
      <w:r>
        <w:rPr>
          <w:rFonts w:hint="default" w:ascii="Times New Roman" w:hAnsi="Times New Roman" w:eastAsia="仿宋_GB2312" w:cs="Times New Roman"/>
          <w:kern w:val="0"/>
          <w:sz w:val="32"/>
          <w:szCs w:val="32"/>
        </w:rPr>
        <w:t>机构日常运转、完成日常工作任务；项目支出</w:t>
      </w:r>
      <w:r>
        <w:rPr>
          <w:rFonts w:hint="default" w:ascii="Times New Roman" w:hAnsi="Times New Roman" w:eastAsia="仿宋_GB2312" w:cs="Times New Roman"/>
          <w:kern w:val="0"/>
          <w:sz w:val="32"/>
          <w:szCs w:val="32"/>
          <w:lang w:val="en-US" w:eastAsia="zh-CN"/>
        </w:rPr>
        <w:t>10942.70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79.46</w:t>
      </w:r>
      <w:r>
        <w:rPr>
          <w:rFonts w:hint="default" w:ascii="Times New Roman" w:hAnsi="Times New Roman" w:eastAsia="仿宋_GB2312" w:cs="Times New Roman"/>
          <w:kern w:val="0"/>
          <w:sz w:val="32"/>
          <w:szCs w:val="32"/>
        </w:rPr>
        <w:t>%，主要用于帮助推动企业发展，部门各类项目支出以及规划编制等。</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四、关于2025年财政拨款收支总表的说明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2025年财政拨款收支预算</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万元。收入按资金来源分为：一般公共预算拨款</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万元、政府性基金预算拨款</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万元；按资金年度分为：本年财政拨款收入</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万元。支出按功能分类分为：一般公共服务支出</w:t>
      </w:r>
      <w:r>
        <w:rPr>
          <w:rFonts w:hint="default" w:ascii="Times New Roman" w:hAnsi="Times New Roman" w:eastAsia="仿宋_GB2312" w:cs="Times New Roman"/>
          <w:kern w:val="0"/>
          <w:sz w:val="32"/>
          <w:szCs w:val="32"/>
          <w:lang w:val="en-US" w:eastAsia="zh-CN"/>
        </w:rPr>
        <w:t>3610.97</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26.22</w:t>
      </w:r>
      <w:r>
        <w:rPr>
          <w:rFonts w:hint="default" w:ascii="Times New Roman" w:hAnsi="Times New Roman" w:eastAsia="仿宋_GB2312" w:cs="Times New Roman"/>
          <w:kern w:val="0"/>
          <w:sz w:val="32"/>
          <w:szCs w:val="32"/>
        </w:rPr>
        <w:t>%；社会保障和就业支出</w:t>
      </w:r>
      <w:r>
        <w:rPr>
          <w:rFonts w:hint="default" w:ascii="Times New Roman" w:hAnsi="Times New Roman" w:eastAsia="仿宋_GB2312" w:cs="Times New Roman"/>
          <w:kern w:val="0"/>
          <w:sz w:val="32"/>
          <w:szCs w:val="32"/>
          <w:lang w:val="en-US" w:eastAsia="zh-CN"/>
        </w:rPr>
        <w:t>675.03</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4.90</w:t>
      </w:r>
      <w:r>
        <w:rPr>
          <w:rFonts w:hint="default" w:ascii="Times New Roman" w:hAnsi="Times New Roman" w:eastAsia="仿宋_GB2312" w:cs="Times New Roman"/>
          <w:kern w:val="0"/>
          <w:sz w:val="32"/>
          <w:szCs w:val="32"/>
        </w:rPr>
        <w:t>%；卫生健康支出</w:t>
      </w:r>
      <w:r>
        <w:rPr>
          <w:rFonts w:hint="default" w:ascii="Times New Roman" w:hAnsi="Times New Roman" w:eastAsia="仿宋_GB2312" w:cs="Times New Roman"/>
          <w:kern w:val="0"/>
          <w:sz w:val="32"/>
          <w:szCs w:val="32"/>
          <w:lang w:val="en-US" w:eastAsia="zh-CN"/>
        </w:rPr>
        <w:t>112.90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0.82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交通运输支出</w:t>
      </w:r>
      <w:r>
        <w:rPr>
          <w:rFonts w:hint="default" w:ascii="Times New Roman" w:hAnsi="Times New Roman" w:eastAsia="仿宋_GB2312" w:cs="Times New Roman"/>
          <w:kern w:val="0"/>
          <w:sz w:val="32"/>
          <w:szCs w:val="32"/>
          <w:lang w:val="en-US" w:eastAsia="zh-CN"/>
        </w:rPr>
        <w:t>8200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59.55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住房保障支出</w:t>
      </w:r>
      <w:r>
        <w:rPr>
          <w:rFonts w:hint="default" w:ascii="Times New Roman" w:hAnsi="Times New Roman" w:eastAsia="仿宋_GB2312" w:cs="Times New Roman"/>
          <w:kern w:val="0"/>
          <w:sz w:val="32"/>
          <w:szCs w:val="32"/>
          <w:lang w:val="en-US" w:eastAsia="zh-CN"/>
        </w:rPr>
        <w:t>330.70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粮油物资储备支出</w:t>
      </w:r>
      <w:r>
        <w:rPr>
          <w:rFonts w:hint="default" w:ascii="Times New Roman" w:hAnsi="Times New Roman" w:eastAsia="仿宋_GB2312" w:cs="Times New Roman"/>
          <w:kern w:val="0"/>
          <w:sz w:val="32"/>
          <w:szCs w:val="32"/>
          <w:lang w:val="en-US" w:eastAsia="zh-CN"/>
        </w:rPr>
        <w:t>841.35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6.11</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五、关于2025年一般公共预算支出表的说明</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（一）一般公共预算支出规模变化情况。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2025年一般公共预算支出</w:t>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770.95</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697.56</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5.34</w:t>
      </w:r>
      <w:r>
        <w:rPr>
          <w:rFonts w:hint="default" w:ascii="Times New Roman" w:hAnsi="Times New Roman" w:eastAsia="仿宋_GB2312" w:cs="Times New Roman"/>
          <w:kern w:val="0"/>
          <w:sz w:val="32"/>
          <w:szCs w:val="32"/>
        </w:rPr>
        <w:t>%，主要原因：一是</w:t>
      </w:r>
      <w:r>
        <w:rPr>
          <w:rFonts w:hint="default" w:ascii="Times New Roman" w:hAnsi="Times New Roman" w:eastAsia="仿宋_GB2312" w:cs="Times New Roman"/>
          <w:kern w:val="0"/>
          <w:sz w:val="32"/>
          <w:szCs w:val="32"/>
          <w:lang w:eastAsia="zh-CN"/>
        </w:rPr>
        <w:t>人员经费增加</w:t>
      </w:r>
      <w:r>
        <w:rPr>
          <w:rFonts w:hint="default" w:ascii="Times New Roman" w:hAnsi="Times New Roman" w:eastAsia="仿宋_GB2312" w:cs="Times New Roman"/>
          <w:kern w:val="0"/>
          <w:sz w:val="32"/>
          <w:szCs w:val="32"/>
        </w:rPr>
        <w:t>；二是</w:t>
      </w:r>
      <w:r>
        <w:rPr>
          <w:rFonts w:hint="default" w:ascii="Times New Roman" w:hAnsi="Times New Roman" w:eastAsia="仿宋_GB2312" w:cs="Times New Roman"/>
          <w:kern w:val="0"/>
          <w:sz w:val="32"/>
          <w:szCs w:val="32"/>
          <w:lang w:eastAsia="zh-CN"/>
        </w:rPr>
        <w:t>项目资金增加</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（二）一般公共预算支出结构情况。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一般公共服务支出</w:t>
      </w:r>
      <w:r>
        <w:rPr>
          <w:rFonts w:hint="default" w:ascii="Times New Roman" w:hAnsi="Times New Roman" w:eastAsia="仿宋_GB2312" w:cs="Times New Roman"/>
          <w:kern w:val="0"/>
          <w:sz w:val="32"/>
          <w:szCs w:val="32"/>
          <w:lang w:val="en-US" w:eastAsia="zh-CN"/>
        </w:rPr>
        <w:t>3610.97</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26.22</w:t>
      </w:r>
      <w:r>
        <w:rPr>
          <w:rFonts w:hint="default" w:ascii="Times New Roman" w:hAnsi="Times New Roman" w:eastAsia="仿宋_GB2312" w:cs="Times New Roman"/>
          <w:kern w:val="0"/>
          <w:sz w:val="32"/>
          <w:szCs w:val="32"/>
        </w:rPr>
        <w:t>%；社会保障和就业支出</w:t>
      </w:r>
      <w:r>
        <w:rPr>
          <w:rFonts w:hint="default" w:ascii="Times New Roman" w:hAnsi="Times New Roman" w:eastAsia="仿宋_GB2312" w:cs="Times New Roman"/>
          <w:kern w:val="0"/>
          <w:sz w:val="32"/>
          <w:szCs w:val="32"/>
          <w:lang w:val="en-US" w:eastAsia="zh-CN"/>
        </w:rPr>
        <w:t>675.03</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4.90</w:t>
      </w:r>
      <w:r>
        <w:rPr>
          <w:rFonts w:hint="default" w:ascii="Times New Roman" w:hAnsi="Times New Roman" w:eastAsia="仿宋_GB2312" w:cs="Times New Roman"/>
          <w:kern w:val="0"/>
          <w:sz w:val="32"/>
          <w:szCs w:val="32"/>
        </w:rPr>
        <w:t>%；卫生健康支出</w:t>
      </w:r>
      <w:r>
        <w:rPr>
          <w:rFonts w:hint="default" w:ascii="Times New Roman" w:hAnsi="Times New Roman" w:eastAsia="仿宋_GB2312" w:cs="Times New Roman"/>
          <w:kern w:val="0"/>
          <w:sz w:val="32"/>
          <w:szCs w:val="32"/>
          <w:lang w:val="en-US" w:eastAsia="zh-CN"/>
        </w:rPr>
        <w:t>112.90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0.82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交通运输支出</w:t>
      </w:r>
      <w:r>
        <w:rPr>
          <w:rFonts w:hint="default" w:ascii="Times New Roman" w:hAnsi="Times New Roman" w:eastAsia="仿宋_GB2312" w:cs="Times New Roman"/>
          <w:kern w:val="0"/>
          <w:sz w:val="32"/>
          <w:szCs w:val="32"/>
          <w:lang w:val="en-US" w:eastAsia="zh-CN"/>
        </w:rPr>
        <w:t>8200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59.55</w:t>
      </w:r>
      <w:r>
        <w:rPr>
          <w:rFonts w:hint="default" w:ascii="Times New Roman" w:hAnsi="Times New Roman" w:eastAsia="仿宋_GB2312" w:cs="Times New Roman"/>
          <w:kern w:val="0"/>
          <w:sz w:val="32"/>
          <w:szCs w:val="32"/>
        </w:rPr>
        <w:t>%；</w:t>
      </w:r>
      <w:bookmarkStart w:id="0" w:name="_GoBack"/>
      <w:bookmarkEnd w:id="0"/>
      <w:r>
        <w:rPr>
          <w:rFonts w:hint="default" w:ascii="Times New Roman" w:hAnsi="Times New Roman" w:eastAsia="仿宋_GB2312" w:cs="Times New Roman"/>
          <w:kern w:val="0"/>
          <w:sz w:val="32"/>
          <w:szCs w:val="32"/>
        </w:rPr>
        <w:t>住房保障支出</w:t>
      </w:r>
      <w:r>
        <w:rPr>
          <w:rFonts w:hint="default" w:ascii="Times New Roman" w:hAnsi="Times New Roman" w:eastAsia="仿宋_GB2312" w:cs="Times New Roman"/>
          <w:kern w:val="0"/>
          <w:sz w:val="32"/>
          <w:szCs w:val="32"/>
          <w:lang w:val="en-US" w:eastAsia="zh-CN"/>
        </w:rPr>
        <w:t>330.70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粮油物资储备支出</w:t>
      </w:r>
      <w:r>
        <w:rPr>
          <w:rFonts w:hint="default" w:ascii="Times New Roman" w:hAnsi="Times New Roman" w:eastAsia="仿宋_GB2312" w:cs="Times New Roman"/>
          <w:kern w:val="0"/>
          <w:sz w:val="32"/>
          <w:szCs w:val="32"/>
          <w:lang w:val="en-US" w:eastAsia="zh-CN"/>
        </w:rPr>
        <w:t>841.35</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6.11</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30" w:firstLineChars="196"/>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（三）一般公共预算支出具体使用情况。</w:t>
      </w:r>
    </w:p>
    <w:p>
      <w:pPr>
        <w:ind w:firstLine="640" w:firstLineChars="200"/>
        <w:rPr>
          <w:rFonts w:hint="default" w:ascii="Times New Roman" w:hAnsi="Times New Roman" w:eastAsia="仿宋_GB2312" w:cs="Times New Roman"/>
          <w:kern w:val="0"/>
          <w:sz w:val="32"/>
          <w:szCs w:val="32"/>
          <w:shd w:val="clear" w:color="auto" w:fill="auto"/>
        </w:rPr>
      </w:pPr>
      <w:r>
        <w:rPr>
          <w:rFonts w:hint="default" w:ascii="Times New Roman" w:hAnsi="Times New Roman" w:eastAsia="仿宋_GB2312" w:cs="Times New Roman"/>
          <w:bCs/>
          <w:kern w:val="0"/>
          <w:sz w:val="32"/>
          <w:szCs w:val="32"/>
          <w:shd w:val="clear" w:color="auto" w:fill="auto"/>
        </w:rPr>
        <w:t>1、一般公共服务支出（类）</w:t>
      </w:r>
      <w:r>
        <w:rPr>
          <w:rFonts w:hint="default" w:ascii="Times New Roman" w:hAnsi="Times New Roman" w:eastAsia="仿宋_GB2312" w:cs="Times New Roman"/>
          <w:bCs/>
          <w:kern w:val="0"/>
          <w:sz w:val="32"/>
          <w:szCs w:val="32"/>
          <w:shd w:val="clear" w:color="auto" w:fill="auto"/>
          <w:lang w:eastAsia="zh-CN"/>
        </w:rPr>
        <w:t>发展与改革事务</w:t>
      </w:r>
      <w:r>
        <w:rPr>
          <w:rFonts w:hint="default" w:ascii="Times New Roman" w:hAnsi="Times New Roman" w:eastAsia="仿宋_GB2312" w:cs="Times New Roman"/>
          <w:bCs/>
          <w:kern w:val="0"/>
          <w:sz w:val="32"/>
          <w:szCs w:val="32"/>
          <w:shd w:val="clear" w:color="auto" w:fill="auto"/>
        </w:rPr>
        <w:t>（款）行政运行（项）</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5</w:t>
      </w:r>
      <w:r>
        <w:rPr>
          <w:rFonts w:hint="default" w:ascii="Times New Roman" w:hAnsi="Times New Roman" w:eastAsia="仿宋_GB2312" w:cs="Times New Roman"/>
          <w:kern w:val="0"/>
          <w:sz w:val="32"/>
          <w:szCs w:val="32"/>
          <w:shd w:val="clear" w:color="auto" w:fill="auto"/>
        </w:rPr>
        <w:t>年预算</w:t>
      </w:r>
      <w:r>
        <w:rPr>
          <w:rFonts w:hint="default" w:ascii="Times New Roman" w:hAnsi="Times New Roman" w:eastAsia="仿宋_GB2312" w:cs="Times New Roman"/>
          <w:kern w:val="0"/>
          <w:sz w:val="32"/>
          <w:szCs w:val="32"/>
          <w:shd w:val="clear" w:color="auto" w:fill="auto"/>
          <w:lang w:val="en-US" w:eastAsia="zh-CN"/>
        </w:rPr>
        <w:t>1384.07</w:t>
      </w:r>
      <w:r>
        <w:rPr>
          <w:rFonts w:hint="default" w:ascii="Times New Roman" w:hAnsi="Times New Roman" w:eastAsia="仿宋_GB2312" w:cs="Times New Roman"/>
          <w:kern w:val="0"/>
          <w:sz w:val="32"/>
          <w:szCs w:val="32"/>
          <w:shd w:val="clear" w:color="auto" w:fill="auto"/>
        </w:rPr>
        <w:t>万元，比202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rPr>
        <w:t>年预算</w:t>
      </w:r>
      <w:r>
        <w:rPr>
          <w:rFonts w:hint="default" w:ascii="Times New Roman" w:hAnsi="Times New Roman" w:eastAsia="仿宋_GB2312" w:cs="Times New Roman"/>
          <w:kern w:val="0"/>
          <w:sz w:val="32"/>
          <w:szCs w:val="32"/>
          <w:shd w:val="clear" w:color="auto" w:fill="auto"/>
          <w:lang w:eastAsia="zh-CN"/>
        </w:rPr>
        <w:t>增加</w:t>
      </w:r>
      <w:r>
        <w:rPr>
          <w:rFonts w:hint="default" w:ascii="Times New Roman" w:hAnsi="Times New Roman" w:eastAsia="仿宋_GB2312" w:cs="Times New Roman"/>
          <w:kern w:val="0"/>
          <w:sz w:val="32"/>
          <w:szCs w:val="32"/>
          <w:shd w:val="clear" w:color="auto" w:fill="auto"/>
          <w:lang w:val="en-US" w:eastAsia="zh-CN"/>
        </w:rPr>
        <w:t>22.05</w:t>
      </w:r>
      <w:r>
        <w:rPr>
          <w:rFonts w:hint="default" w:ascii="Times New Roman" w:hAnsi="Times New Roman" w:eastAsia="仿宋_GB2312" w:cs="Times New Roman"/>
          <w:kern w:val="0"/>
          <w:sz w:val="32"/>
          <w:szCs w:val="32"/>
          <w:shd w:val="clear" w:color="auto" w:fill="auto"/>
        </w:rPr>
        <w:t>万元，</w:t>
      </w:r>
      <w:r>
        <w:rPr>
          <w:rFonts w:hint="default" w:ascii="Times New Roman" w:hAnsi="Times New Roman" w:eastAsia="仿宋_GB2312" w:cs="Times New Roman"/>
          <w:kern w:val="0"/>
          <w:sz w:val="32"/>
          <w:szCs w:val="32"/>
          <w:shd w:val="clear" w:color="auto" w:fill="auto"/>
          <w:lang w:val="en-US" w:eastAsia="zh-CN" w:bidi="ar-SA"/>
        </w:rPr>
        <w:t>增长1.62%</w:t>
      </w:r>
      <w:r>
        <w:rPr>
          <w:rFonts w:hint="default" w:ascii="Times New Roman" w:hAnsi="Times New Roman" w:eastAsia="仿宋_GB2312" w:cs="Times New Roman"/>
          <w:kern w:val="0"/>
          <w:sz w:val="32"/>
          <w:szCs w:val="32"/>
          <w:shd w:val="clear" w:color="auto" w:fill="auto"/>
        </w:rPr>
        <w:t>，原因主要是</w:t>
      </w:r>
      <w:r>
        <w:rPr>
          <w:rFonts w:hint="default" w:ascii="Times New Roman" w:hAnsi="Times New Roman" w:eastAsia="仿宋_GB2312" w:cs="Times New Roman"/>
          <w:kern w:val="0"/>
          <w:sz w:val="32"/>
          <w:szCs w:val="32"/>
          <w:shd w:val="clear" w:color="auto" w:fill="auto"/>
          <w:lang w:eastAsia="zh-CN"/>
        </w:rPr>
        <w:t>人员</w:t>
      </w:r>
      <w:r>
        <w:rPr>
          <w:rFonts w:hint="default" w:ascii="Times New Roman" w:hAnsi="Times New Roman" w:eastAsia="仿宋_GB2312" w:cs="Times New Roman"/>
          <w:kern w:val="0"/>
          <w:sz w:val="32"/>
          <w:szCs w:val="32"/>
          <w:shd w:val="clear" w:color="auto" w:fill="auto"/>
          <w:lang w:val="en-US" w:eastAsia="zh-CN"/>
        </w:rPr>
        <w:t>变动</w:t>
      </w:r>
      <w:r>
        <w:rPr>
          <w:rFonts w:hint="default" w:ascii="Times New Roman" w:hAnsi="Times New Roman" w:eastAsia="仿宋_GB2312" w:cs="Times New Roman"/>
          <w:kern w:val="0"/>
          <w:sz w:val="32"/>
          <w:szCs w:val="32"/>
          <w:shd w:val="clear" w:color="auto" w:fill="auto"/>
        </w:rPr>
        <w:t>。</w:t>
      </w:r>
    </w:p>
    <w:p>
      <w:pPr>
        <w:ind w:firstLine="640" w:firstLineChars="200"/>
        <w:rPr>
          <w:rFonts w:hint="default" w:ascii="Times New Roman" w:hAnsi="Times New Roman" w:eastAsia="仿宋_GB2312" w:cs="Times New Roman"/>
          <w:kern w:val="0"/>
          <w:sz w:val="32"/>
          <w:szCs w:val="32"/>
          <w:shd w:val="clear" w:color="auto" w:fill="auto"/>
        </w:rPr>
      </w:pPr>
      <w:r>
        <w:rPr>
          <w:rFonts w:hint="default" w:ascii="Times New Roman" w:hAnsi="Times New Roman" w:eastAsia="仿宋_GB2312" w:cs="Times New Roman"/>
          <w:bCs/>
          <w:kern w:val="0"/>
          <w:sz w:val="32"/>
          <w:szCs w:val="32"/>
          <w:shd w:val="clear" w:color="auto" w:fill="auto"/>
        </w:rPr>
        <w:t>2、一般公共服务支出（类）</w:t>
      </w:r>
      <w:r>
        <w:rPr>
          <w:rFonts w:hint="default" w:ascii="Times New Roman" w:hAnsi="Times New Roman" w:eastAsia="仿宋_GB2312" w:cs="Times New Roman"/>
          <w:bCs/>
          <w:kern w:val="0"/>
          <w:sz w:val="32"/>
          <w:szCs w:val="32"/>
          <w:shd w:val="clear" w:color="auto" w:fill="auto"/>
          <w:lang w:eastAsia="zh-CN"/>
        </w:rPr>
        <w:t>发展与改革事务（</w:t>
      </w:r>
      <w:r>
        <w:rPr>
          <w:rFonts w:hint="default" w:ascii="Times New Roman" w:hAnsi="Times New Roman" w:eastAsia="仿宋_GB2312" w:cs="Times New Roman"/>
          <w:bCs/>
          <w:kern w:val="0"/>
          <w:sz w:val="32"/>
          <w:szCs w:val="32"/>
          <w:shd w:val="clear" w:color="auto" w:fill="auto"/>
        </w:rPr>
        <w:t>款）一般行政管理事务（项）</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5</w:t>
      </w:r>
      <w:r>
        <w:rPr>
          <w:rFonts w:hint="default" w:ascii="Times New Roman" w:hAnsi="Times New Roman" w:eastAsia="仿宋_GB2312" w:cs="Times New Roman"/>
          <w:kern w:val="0"/>
          <w:sz w:val="32"/>
          <w:szCs w:val="32"/>
          <w:shd w:val="clear" w:color="auto" w:fill="auto"/>
        </w:rPr>
        <w:t>年预算</w:t>
      </w:r>
      <w:r>
        <w:rPr>
          <w:rFonts w:hint="default" w:ascii="Times New Roman" w:hAnsi="Times New Roman" w:eastAsia="仿宋_GB2312" w:cs="Times New Roman"/>
          <w:kern w:val="0"/>
          <w:sz w:val="32"/>
          <w:szCs w:val="32"/>
          <w:shd w:val="clear" w:color="auto" w:fill="auto"/>
          <w:lang w:val="en-US" w:eastAsia="zh-CN"/>
        </w:rPr>
        <w:t>257.95</w:t>
      </w:r>
      <w:r>
        <w:rPr>
          <w:rFonts w:hint="default" w:ascii="Times New Roman" w:hAnsi="Times New Roman" w:eastAsia="仿宋_GB2312" w:cs="Times New Roman"/>
          <w:kern w:val="0"/>
          <w:sz w:val="32"/>
          <w:szCs w:val="32"/>
          <w:shd w:val="clear" w:color="auto" w:fill="auto"/>
        </w:rPr>
        <w:t>万元，比202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rPr>
        <w:t>年预算</w:t>
      </w:r>
      <w:r>
        <w:rPr>
          <w:rFonts w:hint="default" w:ascii="Times New Roman" w:hAnsi="Times New Roman" w:eastAsia="仿宋_GB2312" w:cs="Times New Roman"/>
          <w:kern w:val="0"/>
          <w:sz w:val="32"/>
          <w:szCs w:val="32"/>
          <w:shd w:val="clear" w:color="auto" w:fill="auto"/>
          <w:lang w:val="en-US" w:eastAsia="zh-CN"/>
        </w:rPr>
        <w:t>减少153.95</w:t>
      </w:r>
      <w:r>
        <w:rPr>
          <w:rFonts w:hint="default" w:ascii="Times New Roman" w:hAnsi="Times New Roman" w:eastAsia="仿宋_GB2312" w:cs="Times New Roman"/>
          <w:kern w:val="0"/>
          <w:sz w:val="32"/>
          <w:szCs w:val="32"/>
          <w:shd w:val="clear" w:color="auto" w:fill="auto"/>
        </w:rPr>
        <w:t>万元，</w:t>
      </w:r>
      <w:r>
        <w:rPr>
          <w:rFonts w:hint="default" w:ascii="Times New Roman" w:hAnsi="Times New Roman" w:eastAsia="仿宋_GB2312" w:cs="Times New Roman"/>
          <w:kern w:val="0"/>
          <w:sz w:val="32"/>
          <w:szCs w:val="32"/>
          <w:shd w:val="clear" w:color="auto" w:fill="auto"/>
          <w:lang w:val="en-US" w:eastAsia="zh-CN"/>
        </w:rPr>
        <w:t>下降37.38</w:t>
      </w:r>
      <w:r>
        <w:rPr>
          <w:rFonts w:hint="default" w:ascii="Times New Roman" w:hAnsi="Times New Roman" w:eastAsia="仿宋_GB2312" w:cs="Times New Roman"/>
          <w:kern w:val="0"/>
          <w:sz w:val="32"/>
          <w:szCs w:val="32"/>
          <w:shd w:val="clear" w:color="auto" w:fill="auto"/>
        </w:rPr>
        <w:t>%，原因主要是</w:t>
      </w:r>
      <w:r>
        <w:rPr>
          <w:rFonts w:hint="default" w:ascii="Times New Roman" w:hAnsi="Times New Roman" w:eastAsia="仿宋_GB2312" w:cs="Times New Roman"/>
          <w:kern w:val="0"/>
          <w:sz w:val="32"/>
          <w:szCs w:val="32"/>
          <w:shd w:val="clear" w:color="auto" w:fill="auto"/>
          <w:lang w:eastAsia="zh-CN"/>
        </w:rPr>
        <w:t>工作经费等项目</w:t>
      </w:r>
      <w:r>
        <w:rPr>
          <w:rFonts w:hint="default" w:ascii="Times New Roman" w:hAnsi="Times New Roman" w:eastAsia="仿宋_GB2312" w:cs="Times New Roman"/>
          <w:kern w:val="0"/>
          <w:sz w:val="32"/>
          <w:szCs w:val="32"/>
          <w:shd w:val="clear" w:color="auto" w:fill="auto"/>
          <w:lang w:val="en-US" w:eastAsia="zh-CN"/>
        </w:rPr>
        <w:t>预算金额减少</w:t>
      </w:r>
      <w:r>
        <w:rPr>
          <w:rFonts w:hint="default" w:ascii="Times New Roman" w:hAnsi="Times New Roman" w:eastAsia="仿宋_GB2312" w:cs="Times New Roman"/>
          <w:kern w:val="0"/>
          <w:sz w:val="32"/>
          <w:szCs w:val="32"/>
          <w:shd w:val="clear" w:color="auto" w:fill="auto"/>
        </w:rPr>
        <w:t>。</w:t>
      </w:r>
    </w:p>
    <w:p>
      <w:pPr>
        <w:ind w:firstLine="640" w:firstLineChars="200"/>
        <w:rPr>
          <w:rFonts w:hint="default" w:ascii="Times New Roman" w:hAnsi="Times New Roman" w:eastAsia="仿宋_GB2312" w:cs="Times New Roman"/>
          <w:kern w:val="0"/>
          <w:sz w:val="32"/>
          <w:szCs w:val="32"/>
          <w:shd w:val="clear" w:color="auto" w:fill="auto"/>
        </w:rPr>
      </w:pPr>
      <w:r>
        <w:rPr>
          <w:rFonts w:hint="default" w:ascii="Times New Roman" w:hAnsi="Times New Roman" w:eastAsia="仿宋_GB2312" w:cs="Times New Roman"/>
          <w:bCs/>
          <w:kern w:val="0"/>
          <w:sz w:val="32"/>
          <w:szCs w:val="32"/>
          <w:shd w:val="clear" w:color="auto" w:fill="auto"/>
          <w:lang w:val="en-US" w:eastAsia="zh-CN" w:bidi="ar-SA"/>
        </w:rPr>
        <w:t>3.一般公共服务支出（类）发展与改革事务（款）物价管理（项）</w:t>
      </w:r>
      <w:r>
        <w:rPr>
          <w:rFonts w:hint="default" w:ascii="Times New Roman" w:hAnsi="Times New Roman" w:eastAsia="仿宋_GB2312" w:cs="Times New Roman"/>
          <w:kern w:val="0"/>
          <w:sz w:val="32"/>
          <w:szCs w:val="32"/>
          <w:shd w:val="clear" w:color="auto" w:fill="auto"/>
          <w:lang w:val="en-US" w:eastAsia="zh-CN" w:bidi="ar-SA"/>
        </w:rPr>
        <w:t>2025年预算26.16万元，比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w:t>
      </w:r>
      <w:r>
        <w:rPr>
          <w:rFonts w:hint="default" w:ascii="Times New Roman" w:hAnsi="Times New Roman" w:eastAsia="仿宋_GB2312" w:cs="Times New Roman"/>
          <w:kern w:val="0"/>
          <w:sz w:val="32"/>
          <w:szCs w:val="32"/>
          <w:shd w:val="clear" w:color="auto" w:fill="auto"/>
          <w:lang w:val="en-US" w:eastAsia="zh-CN"/>
        </w:rPr>
        <w:t>减少5.44</w:t>
      </w:r>
      <w:r>
        <w:rPr>
          <w:rFonts w:hint="default" w:ascii="Times New Roman" w:hAnsi="Times New Roman" w:eastAsia="仿宋_GB2312" w:cs="Times New Roman"/>
          <w:kern w:val="0"/>
          <w:sz w:val="32"/>
          <w:szCs w:val="32"/>
          <w:shd w:val="clear" w:color="auto" w:fill="auto"/>
        </w:rPr>
        <w:t>万元，</w:t>
      </w:r>
      <w:r>
        <w:rPr>
          <w:rFonts w:hint="default" w:ascii="Times New Roman" w:hAnsi="Times New Roman" w:eastAsia="仿宋_GB2312" w:cs="Times New Roman"/>
          <w:kern w:val="0"/>
          <w:sz w:val="32"/>
          <w:szCs w:val="32"/>
          <w:shd w:val="clear" w:color="auto" w:fill="auto"/>
          <w:lang w:val="en-US" w:eastAsia="zh-CN"/>
        </w:rPr>
        <w:t>下降17.22</w:t>
      </w:r>
      <w:r>
        <w:rPr>
          <w:rFonts w:hint="default" w:ascii="Times New Roman" w:hAnsi="Times New Roman" w:eastAsia="仿宋_GB2312" w:cs="Times New Roman"/>
          <w:kern w:val="0"/>
          <w:sz w:val="32"/>
          <w:szCs w:val="32"/>
          <w:shd w:val="clear" w:color="auto" w:fill="auto"/>
        </w:rPr>
        <w:t>%</w:t>
      </w:r>
      <w:r>
        <w:rPr>
          <w:rFonts w:hint="default" w:ascii="Times New Roman" w:hAnsi="Times New Roman" w:eastAsia="仿宋_GB2312" w:cs="Times New Roman"/>
          <w:kern w:val="0"/>
          <w:sz w:val="32"/>
          <w:szCs w:val="32"/>
          <w:shd w:val="clear" w:color="auto" w:fill="auto"/>
          <w:lang w:val="en-US" w:eastAsia="zh-CN" w:bidi="ar-SA"/>
        </w:rPr>
        <w:t>，原因主要是价格认证工作经费预算金额减少。</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4.一般公共服务支出（类）发展与改革事务（款）事业运行（项）</w:t>
      </w:r>
      <w:r>
        <w:rPr>
          <w:rFonts w:hint="default" w:ascii="Times New Roman" w:hAnsi="Times New Roman" w:eastAsia="仿宋_GB2312" w:cs="Times New Roman"/>
          <w:kern w:val="0"/>
          <w:sz w:val="32"/>
          <w:szCs w:val="32"/>
          <w:shd w:val="clear" w:color="auto" w:fill="auto"/>
          <w:lang w:val="en-US" w:eastAsia="zh-CN" w:bidi="ar-SA"/>
        </w:rPr>
        <w:t>2025年预算325.55万元，比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年预算增加3.82万元，增长1.19%，原因主要是人员变动。</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default" w:ascii="Times New Roman" w:hAnsi="Times New Roman" w:eastAsia="仿宋_GB2312" w:cs="Times New Roman"/>
          <w:bCs/>
          <w:kern w:val="0"/>
          <w:sz w:val="32"/>
          <w:szCs w:val="32"/>
          <w:shd w:val="clear" w:color="auto" w:fill="auto"/>
          <w:lang w:val="en-US" w:eastAsia="zh-CN" w:bidi="ar-SA"/>
        </w:rPr>
        <w:t>5.一般公共服务支出（类）发展与改革事务（款）其他发展与改革事务支出（项）</w:t>
      </w:r>
      <w:r>
        <w:rPr>
          <w:rFonts w:hint="default" w:ascii="Times New Roman" w:hAnsi="Times New Roman" w:eastAsia="仿宋_GB2312" w:cs="Times New Roman"/>
          <w:kern w:val="0"/>
          <w:sz w:val="32"/>
          <w:szCs w:val="32"/>
          <w:shd w:val="clear" w:color="auto" w:fill="auto"/>
          <w:lang w:val="en-US" w:eastAsia="zh-CN" w:bidi="ar-SA"/>
        </w:rPr>
        <w:t>2025年预算1617.24万元，比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年预算增加1062.50万元，增长191.53%，原因主要是援藏工作经费等项目预算金额增加。</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6.</w:t>
      </w:r>
      <w:r>
        <w:rPr>
          <w:rFonts w:hint="default" w:ascii="Times New Roman" w:hAnsi="Times New Roman" w:eastAsia="仿宋_GB2312" w:cs="Times New Roman"/>
          <w:kern w:val="0"/>
          <w:sz w:val="32"/>
          <w:szCs w:val="32"/>
          <w:shd w:val="clear" w:color="auto" w:fill="auto"/>
        </w:rPr>
        <w:t>社会保障和就业支出（类）行政</w:t>
      </w:r>
      <w:r>
        <w:rPr>
          <w:rFonts w:hint="default" w:ascii="Times New Roman" w:hAnsi="Times New Roman" w:eastAsia="仿宋_GB2312" w:cs="Times New Roman"/>
          <w:kern w:val="0"/>
          <w:sz w:val="32"/>
          <w:szCs w:val="32"/>
          <w:shd w:val="clear" w:color="auto" w:fill="auto"/>
          <w:lang w:eastAsia="zh-CN"/>
        </w:rPr>
        <w:t>事业</w:t>
      </w:r>
      <w:r>
        <w:rPr>
          <w:rFonts w:hint="default" w:ascii="Times New Roman" w:hAnsi="Times New Roman" w:eastAsia="仿宋_GB2312" w:cs="Times New Roman"/>
          <w:kern w:val="0"/>
          <w:sz w:val="32"/>
          <w:szCs w:val="32"/>
          <w:shd w:val="clear" w:color="auto" w:fill="auto"/>
        </w:rPr>
        <w:t>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kern w:val="0"/>
          <w:sz w:val="32"/>
          <w:szCs w:val="32"/>
          <w:shd w:val="clear" w:color="auto" w:fill="auto"/>
          <w:lang w:eastAsia="zh-CN"/>
        </w:rPr>
        <w:t>行政单位离退休</w:t>
      </w:r>
      <w:r>
        <w:rPr>
          <w:rFonts w:hint="default" w:ascii="Times New Roman" w:hAnsi="Times New Roman" w:eastAsia="仿宋_GB2312" w:cs="Times New Roman"/>
          <w:kern w:val="0"/>
          <w:sz w:val="32"/>
          <w:szCs w:val="32"/>
          <w:shd w:val="clear" w:color="auto" w:fill="auto"/>
        </w:rPr>
        <w:t>（项）</w:t>
      </w:r>
      <w:r>
        <w:rPr>
          <w:rFonts w:hint="default" w:ascii="Times New Roman" w:hAnsi="Times New Roman" w:eastAsia="仿宋_GB2312" w:cs="Times New Roman"/>
          <w:kern w:val="0"/>
          <w:sz w:val="32"/>
          <w:szCs w:val="32"/>
          <w:shd w:val="clear" w:color="auto" w:fill="auto"/>
          <w:lang w:val="en-US" w:eastAsia="zh-CN" w:bidi="ar-SA"/>
        </w:rPr>
        <w:t>2025年预算344.79万元，比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年预算增加55.32万元，增长19.11%，原因主要是离退休人员变动。</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default" w:ascii="Times New Roman" w:hAnsi="Times New Roman" w:eastAsia="仿宋_GB2312" w:cs="Times New Roman"/>
          <w:bCs/>
          <w:kern w:val="0"/>
          <w:sz w:val="32"/>
          <w:szCs w:val="32"/>
          <w:shd w:val="clear" w:color="auto" w:fill="auto"/>
          <w:lang w:val="en-US" w:eastAsia="zh-CN" w:bidi="ar-SA"/>
        </w:rPr>
        <w:t>7.</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事业单位离退休（项）</w:t>
      </w:r>
      <w:r>
        <w:rPr>
          <w:rFonts w:hint="default" w:ascii="Times New Roman" w:hAnsi="Times New Roman" w:eastAsia="仿宋_GB2312" w:cs="Times New Roman"/>
          <w:kern w:val="0"/>
          <w:sz w:val="32"/>
          <w:szCs w:val="32"/>
          <w:shd w:val="clear" w:color="auto" w:fill="auto"/>
          <w:lang w:val="en-US" w:eastAsia="zh-CN" w:bidi="ar-SA"/>
        </w:rPr>
        <w:t>2025年预算15.11万元，比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年预算增加4.52万元，增长42.67%，原因主要是离退休人员变动。</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8.</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机关事业单位基本养老保险缴费支出（项）</w:t>
      </w:r>
      <w:r>
        <w:rPr>
          <w:rFonts w:hint="default" w:ascii="Times New Roman" w:hAnsi="Times New Roman" w:eastAsia="仿宋_GB2312" w:cs="Times New Roman"/>
          <w:kern w:val="0"/>
          <w:sz w:val="32"/>
          <w:szCs w:val="32"/>
          <w:shd w:val="clear" w:color="auto" w:fill="auto"/>
          <w:lang w:val="en-US" w:eastAsia="zh-CN" w:bidi="ar-SA"/>
        </w:rPr>
        <w:t>2025年预算208.16万元，比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年预算增加2.31万元，增长1.12%，原因主要是机关事业单位基本养老保险基数调整。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9.</w:t>
      </w:r>
      <w:r>
        <w:rPr>
          <w:rFonts w:hint="default" w:ascii="Times New Roman" w:hAnsi="Times New Roman" w:eastAsia="仿宋_GB2312" w:cs="Times New Roman"/>
          <w:kern w:val="0"/>
          <w:sz w:val="32"/>
          <w:szCs w:val="32"/>
          <w:shd w:val="clear" w:color="auto" w:fill="auto"/>
        </w:rPr>
        <w:t>社会保障和就业支出（类）行政事业单位</w:t>
      </w:r>
      <w:r>
        <w:rPr>
          <w:rFonts w:hint="default" w:ascii="Times New Roman" w:hAnsi="Times New Roman" w:eastAsia="仿宋_GB2312" w:cs="Times New Roman"/>
          <w:kern w:val="0"/>
          <w:sz w:val="32"/>
          <w:szCs w:val="32"/>
          <w:shd w:val="clear" w:color="auto" w:fill="auto"/>
          <w:lang w:eastAsia="zh-CN"/>
        </w:rPr>
        <w:t>养老支出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机关事业单位职业年金缴费支出（项）</w:t>
      </w:r>
      <w:r>
        <w:rPr>
          <w:rFonts w:hint="default" w:ascii="Times New Roman" w:hAnsi="Times New Roman" w:eastAsia="仿宋_GB2312" w:cs="Times New Roman"/>
          <w:kern w:val="0"/>
          <w:sz w:val="32"/>
          <w:szCs w:val="32"/>
          <w:shd w:val="clear" w:color="auto" w:fill="auto"/>
          <w:lang w:val="en-US" w:eastAsia="zh-CN" w:bidi="ar-SA"/>
        </w:rPr>
        <w:t>2025年预算104.08万元，比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年预算增加1.15万元，增长1.12%，原因主要是机关事业单位职业年金基数调整。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10.</w:t>
      </w:r>
      <w:r>
        <w:rPr>
          <w:rFonts w:hint="default" w:ascii="Times New Roman" w:hAnsi="Times New Roman" w:eastAsia="仿宋_GB2312" w:cs="Times New Roman"/>
          <w:kern w:val="0"/>
          <w:sz w:val="32"/>
          <w:szCs w:val="32"/>
          <w:shd w:val="clear" w:color="auto" w:fill="auto"/>
        </w:rPr>
        <w:t>社会保障和就业支出（类）</w:t>
      </w:r>
      <w:r>
        <w:rPr>
          <w:rFonts w:hint="default" w:ascii="Times New Roman" w:hAnsi="Times New Roman" w:eastAsia="仿宋_GB2312" w:cs="Times New Roman"/>
          <w:kern w:val="0"/>
          <w:sz w:val="32"/>
          <w:szCs w:val="32"/>
          <w:shd w:val="clear" w:color="auto" w:fill="auto"/>
          <w:lang w:eastAsia="zh-CN"/>
        </w:rPr>
        <w:t>其他社会保障和就业支出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其他社会保障和就业支出（项）</w:t>
      </w:r>
      <w:r>
        <w:rPr>
          <w:rFonts w:hint="default" w:ascii="Times New Roman" w:hAnsi="Times New Roman" w:eastAsia="仿宋_GB2312" w:cs="Times New Roman"/>
          <w:kern w:val="0"/>
          <w:sz w:val="32"/>
          <w:szCs w:val="32"/>
          <w:shd w:val="clear" w:color="auto" w:fill="auto"/>
          <w:lang w:val="en-US" w:eastAsia="zh-CN" w:bidi="ar-SA"/>
        </w:rPr>
        <w:t>2025年预算2.88万元，比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 xml:space="preserve">年增加0万元，增长0%，原因主要是预算无变化。  </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11.</w:t>
      </w:r>
      <w:r>
        <w:rPr>
          <w:rFonts w:hint="default" w:ascii="Times New Roman" w:hAnsi="Times New Roman" w:eastAsia="仿宋_GB2312" w:cs="Times New Roman"/>
          <w:kern w:val="0"/>
          <w:sz w:val="32"/>
          <w:szCs w:val="32"/>
          <w:shd w:val="clear" w:color="auto" w:fill="auto"/>
          <w:lang w:eastAsia="zh-CN"/>
        </w:rPr>
        <w:t>卫生健康</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行政事业单位医疗</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行政单位医疗（项）</w:t>
      </w:r>
      <w:r>
        <w:rPr>
          <w:rFonts w:hint="default" w:ascii="Times New Roman" w:hAnsi="Times New Roman" w:eastAsia="仿宋_GB2312" w:cs="Times New Roman"/>
          <w:kern w:val="0"/>
          <w:sz w:val="32"/>
          <w:szCs w:val="32"/>
          <w:shd w:val="clear" w:color="auto" w:fill="auto"/>
          <w:lang w:val="en-US" w:eastAsia="zh-CN" w:bidi="ar-SA"/>
        </w:rPr>
        <w:t>2025年预算50.60万元，比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年预算减少7.12万元，下降12.33%，原因主要是人员变动，缴费基数调整。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default" w:ascii="Times New Roman" w:hAnsi="Times New Roman" w:eastAsia="仿宋_GB2312" w:cs="Times New Roman"/>
          <w:bCs/>
          <w:kern w:val="0"/>
          <w:sz w:val="32"/>
          <w:szCs w:val="32"/>
          <w:shd w:val="clear" w:color="auto" w:fill="auto"/>
          <w:lang w:val="en-US" w:eastAsia="zh-CN" w:bidi="ar-SA"/>
        </w:rPr>
        <w:t>12.</w:t>
      </w:r>
      <w:r>
        <w:rPr>
          <w:rFonts w:hint="default" w:ascii="Times New Roman" w:hAnsi="Times New Roman" w:eastAsia="仿宋_GB2312" w:cs="Times New Roman"/>
          <w:kern w:val="0"/>
          <w:sz w:val="32"/>
          <w:szCs w:val="32"/>
          <w:shd w:val="clear" w:color="auto" w:fill="auto"/>
          <w:lang w:eastAsia="zh-CN"/>
        </w:rPr>
        <w:t>卫生健康</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行政事业单位医疗</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事业单位医疗（项）</w:t>
      </w:r>
      <w:r>
        <w:rPr>
          <w:rFonts w:hint="default" w:ascii="Times New Roman" w:hAnsi="Times New Roman" w:eastAsia="仿宋_GB2312" w:cs="Times New Roman"/>
          <w:kern w:val="0"/>
          <w:sz w:val="32"/>
          <w:szCs w:val="32"/>
          <w:shd w:val="clear" w:color="auto" w:fill="auto"/>
          <w:lang w:val="en-US" w:eastAsia="zh-CN" w:bidi="ar-SA"/>
        </w:rPr>
        <w:t>2025年预算16.76万元，比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年预算减少3.15万元，下降15.81%，原因主要是人员变动，缴费基数调整。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13.</w:t>
      </w:r>
      <w:r>
        <w:rPr>
          <w:rFonts w:hint="default" w:ascii="Times New Roman" w:hAnsi="Times New Roman" w:eastAsia="仿宋_GB2312" w:cs="Times New Roman"/>
          <w:kern w:val="0"/>
          <w:sz w:val="32"/>
          <w:szCs w:val="32"/>
          <w:shd w:val="clear" w:color="auto" w:fill="auto"/>
          <w:lang w:eastAsia="zh-CN"/>
        </w:rPr>
        <w:t>卫生健康</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行政事业单位医疗</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公务员医疗补助（项）</w:t>
      </w:r>
      <w:r>
        <w:rPr>
          <w:rFonts w:hint="default" w:ascii="Times New Roman" w:hAnsi="Times New Roman" w:eastAsia="仿宋_GB2312" w:cs="Times New Roman"/>
          <w:kern w:val="0"/>
          <w:sz w:val="32"/>
          <w:szCs w:val="32"/>
          <w:shd w:val="clear" w:color="auto" w:fill="auto"/>
          <w:lang w:val="en-US" w:eastAsia="zh-CN" w:bidi="ar-SA"/>
        </w:rPr>
        <w:t>2025年预算45.51万元，比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年预算减少0.45万元，下降0.97%，原因主要是人员变动，缴费基数调整。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rPr>
      </w:pPr>
      <w:r>
        <w:rPr>
          <w:rFonts w:hint="default" w:ascii="Times New Roman" w:hAnsi="Times New Roman" w:eastAsia="仿宋_GB2312" w:cs="Times New Roman"/>
          <w:bCs/>
          <w:kern w:val="0"/>
          <w:sz w:val="32"/>
          <w:szCs w:val="32"/>
          <w:shd w:val="clear" w:color="auto" w:fill="auto"/>
          <w:lang w:val="en-US" w:eastAsia="zh-CN" w:bidi="ar-SA"/>
        </w:rPr>
        <w:t>14.</w:t>
      </w:r>
      <w:r>
        <w:rPr>
          <w:rFonts w:hint="default" w:ascii="Times New Roman" w:hAnsi="Times New Roman" w:eastAsia="仿宋_GB2312" w:cs="Times New Roman"/>
          <w:kern w:val="0"/>
          <w:sz w:val="32"/>
          <w:szCs w:val="32"/>
          <w:shd w:val="clear" w:color="auto" w:fill="auto"/>
          <w:lang w:eastAsia="zh-CN"/>
        </w:rPr>
        <w:t>交通运输</w:t>
      </w:r>
      <w:r>
        <w:rPr>
          <w:rFonts w:hint="default" w:ascii="Times New Roman" w:hAnsi="Times New Roman" w:eastAsia="仿宋_GB2312" w:cs="Times New Roman"/>
          <w:kern w:val="0"/>
          <w:sz w:val="32"/>
          <w:szCs w:val="32"/>
          <w:shd w:val="clear" w:color="auto" w:fill="auto"/>
        </w:rPr>
        <w:t>支出（类）</w:t>
      </w:r>
      <w:r>
        <w:rPr>
          <w:rFonts w:hint="default" w:ascii="Times New Roman" w:hAnsi="Times New Roman" w:eastAsia="仿宋_GB2312" w:cs="Times New Roman"/>
          <w:kern w:val="0"/>
          <w:sz w:val="32"/>
          <w:szCs w:val="32"/>
          <w:shd w:val="clear" w:color="auto" w:fill="auto"/>
          <w:lang w:eastAsia="zh-CN"/>
        </w:rPr>
        <w:t>其他交通运输支出</w:t>
      </w:r>
      <w:r>
        <w:rPr>
          <w:rFonts w:hint="default" w:ascii="Times New Roman" w:hAnsi="Times New Roman" w:eastAsia="仿宋_GB2312" w:cs="Times New Roman"/>
          <w:kern w:val="0"/>
          <w:sz w:val="32"/>
          <w:szCs w:val="32"/>
          <w:shd w:val="clear" w:color="auto" w:fill="auto"/>
        </w:rPr>
        <w:t>（款）</w:t>
      </w:r>
      <w:r>
        <w:rPr>
          <w:rFonts w:hint="default" w:ascii="Times New Roman" w:hAnsi="Times New Roman" w:eastAsia="仿宋_GB2312" w:cs="Times New Roman"/>
          <w:bCs/>
          <w:kern w:val="0"/>
          <w:sz w:val="32"/>
          <w:szCs w:val="32"/>
          <w:shd w:val="clear" w:color="auto" w:fill="auto"/>
          <w:lang w:val="en-US" w:eastAsia="zh-CN" w:bidi="ar-SA"/>
        </w:rPr>
        <w:t>其他交通运输支出（项）</w:t>
      </w:r>
      <w:r>
        <w:rPr>
          <w:rFonts w:hint="default" w:ascii="Times New Roman" w:hAnsi="Times New Roman" w:eastAsia="仿宋_GB2312" w:cs="Times New Roman"/>
          <w:kern w:val="0"/>
          <w:sz w:val="32"/>
          <w:szCs w:val="32"/>
          <w:shd w:val="clear" w:color="auto" w:fill="auto"/>
          <w:lang w:val="en-US" w:eastAsia="zh-CN" w:bidi="ar-SA"/>
        </w:rPr>
        <w:t>2025年预算8200万元，比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年预算增加0万元，增长0%，原因主要是预算无变化</w:t>
      </w:r>
      <w:r>
        <w:rPr>
          <w:rFonts w:hint="default" w:ascii="Times New Roman" w:hAnsi="Times New Roman" w:eastAsia="仿宋_GB2312" w:cs="Times New Roman"/>
          <w:kern w:val="0"/>
          <w:sz w:val="32"/>
          <w:szCs w:val="32"/>
          <w:shd w:val="clear" w:color="auto" w:fill="auto"/>
          <w:lang w:eastAsia="zh-CN"/>
        </w:rPr>
        <w:t>。</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15.</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住房公积金（项）</w:t>
      </w:r>
      <w:r>
        <w:rPr>
          <w:rFonts w:hint="default" w:ascii="Times New Roman" w:hAnsi="Times New Roman" w:eastAsia="仿宋_GB2312" w:cs="Times New Roman"/>
          <w:kern w:val="0"/>
          <w:sz w:val="32"/>
          <w:szCs w:val="32"/>
          <w:shd w:val="clear" w:color="auto" w:fill="auto"/>
          <w:lang w:val="en-US" w:eastAsia="zh-CN" w:bidi="ar-SA"/>
        </w:rPr>
        <w:t>2025年预算198.42万元，比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年预算减少15.21万元，下降7.12%，原因主要是缴费基数调整。</w:t>
      </w:r>
    </w:p>
    <w:p>
      <w:pPr>
        <w:ind w:firstLine="640" w:firstLineChars="200"/>
        <w:rPr>
          <w:rFonts w:hint="default" w:ascii="Times New Roman" w:hAnsi="Times New Roman" w:eastAsia="仿宋_GB2312" w:cs="Times New Roman"/>
          <w:kern w:val="0"/>
          <w:sz w:val="32"/>
          <w:szCs w:val="32"/>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16.</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提租补贴（项）</w:t>
      </w:r>
      <w:r>
        <w:rPr>
          <w:rFonts w:hint="default" w:ascii="Times New Roman" w:hAnsi="Times New Roman" w:eastAsia="仿宋_GB2312" w:cs="Times New Roman"/>
          <w:kern w:val="0"/>
          <w:sz w:val="32"/>
          <w:szCs w:val="32"/>
          <w:shd w:val="clear" w:color="auto" w:fill="auto"/>
          <w:lang w:val="en-US" w:eastAsia="zh-CN" w:bidi="ar-SA"/>
        </w:rPr>
        <w:t>2025年预算49.61万元，比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年预算减少3.80万元，下降7.12%，原因主要是人员变动。</w:t>
      </w:r>
    </w:p>
    <w:p>
      <w:pPr>
        <w:ind w:firstLine="640" w:firstLineChars="200"/>
        <w:rPr>
          <w:rFonts w:hint="default" w:ascii="Times New Roman" w:hAnsi="Times New Roman" w:eastAsia="仿宋_GB2312" w:cs="Times New Roman"/>
          <w:kern w:val="0"/>
          <w:sz w:val="32"/>
          <w:szCs w:val="32"/>
          <w:highlight w:val="none"/>
          <w:shd w:val="clear" w:color="auto" w:fill="auto"/>
          <w:lang w:val="en-US" w:eastAsia="zh-CN" w:bidi="ar-SA"/>
        </w:rPr>
      </w:pPr>
      <w:r>
        <w:rPr>
          <w:rFonts w:hint="default" w:ascii="Times New Roman" w:hAnsi="Times New Roman" w:eastAsia="仿宋_GB2312" w:cs="Times New Roman"/>
          <w:bCs/>
          <w:kern w:val="0"/>
          <w:sz w:val="32"/>
          <w:szCs w:val="32"/>
          <w:shd w:val="clear" w:color="auto" w:fill="auto"/>
          <w:lang w:val="en-US" w:eastAsia="zh-CN" w:bidi="ar-SA"/>
        </w:rPr>
        <w:t>17.</w:t>
      </w:r>
      <w:r>
        <w:rPr>
          <w:rFonts w:hint="default" w:ascii="Times New Roman" w:hAnsi="Times New Roman" w:eastAsia="仿宋_GB2312" w:cs="Times New Roman"/>
          <w:kern w:val="0"/>
          <w:sz w:val="32"/>
          <w:szCs w:val="32"/>
          <w:shd w:val="clear" w:color="auto" w:fill="auto"/>
        </w:rPr>
        <w:t>住房保障支出（类）住房改革支出（款）</w:t>
      </w:r>
      <w:r>
        <w:rPr>
          <w:rFonts w:hint="default" w:ascii="Times New Roman" w:hAnsi="Times New Roman" w:eastAsia="仿宋_GB2312" w:cs="Times New Roman"/>
          <w:bCs/>
          <w:kern w:val="0"/>
          <w:sz w:val="32"/>
          <w:szCs w:val="32"/>
          <w:shd w:val="clear" w:color="auto" w:fill="auto"/>
          <w:lang w:val="en-US" w:eastAsia="zh-CN" w:bidi="ar-SA"/>
        </w:rPr>
        <w:t>购房补贴（项）</w:t>
      </w:r>
      <w:r>
        <w:rPr>
          <w:rFonts w:hint="default" w:ascii="Times New Roman" w:hAnsi="Times New Roman" w:eastAsia="仿宋_GB2312" w:cs="Times New Roman"/>
          <w:kern w:val="0"/>
          <w:sz w:val="32"/>
          <w:szCs w:val="32"/>
          <w:shd w:val="clear" w:color="auto" w:fill="auto"/>
          <w:lang w:val="en-US" w:eastAsia="zh-CN" w:bidi="ar-SA"/>
        </w:rPr>
        <w:t>2025年预算82.68万元，比</w:t>
      </w:r>
      <w:r>
        <w:rPr>
          <w:rFonts w:hint="default" w:ascii="Times New Roman" w:hAnsi="Times New Roman" w:eastAsia="仿宋_GB2312" w:cs="Times New Roman"/>
          <w:kern w:val="0"/>
          <w:sz w:val="32"/>
          <w:szCs w:val="32"/>
          <w:shd w:val="clear" w:color="auto" w:fill="auto"/>
        </w:rPr>
        <w:t>202</w:t>
      </w:r>
      <w:r>
        <w:rPr>
          <w:rFonts w:hint="default" w:ascii="Times New Roman" w:hAnsi="Times New Roman" w:eastAsia="仿宋_GB2312" w:cs="Times New Roman"/>
          <w:kern w:val="0"/>
          <w:sz w:val="32"/>
          <w:szCs w:val="32"/>
          <w:shd w:val="clear" w:color="auto" w:fill="auto"/>
          <w:lang w:val="en-US" w:eastAsia="zh-CN"/>
        </w:rPr>
        <w:t>4</w:t>
      </w:r>
      <w:r>
        <w:rPr>
          <w:rFonts w:hint="default" w:ascii="Times New Roman" w:hAnsi="Times New Roman" w:eastAsia="仿宋_GB2312" w:cs="Times New Roman"/>
          <w:kern w:val="0"/>
          <w:sz w:val="32"/>
          <w:szCs w:val="32"/>
          <w:shd w:val="clear" w:color="auto" w:fill="auto"/>
          <w:lang w:val="en-US" w:eastAsia="zh-CN" w:bidi="ar-SA"/>
        </w:rPr>
        <w:t>年预算减少6.34万元，下降7.12%，原因</w:t>
      </w:r>
      <w:r>
        <w:rPr>
          <w:rFonts w:hint="default" w:ascii="Times New Roman" w:hAnsi="Times New Roman" w:eastAsia="仿宋_GB2312" w:cs="Times New Roman"/>
          <w:kern w:val="0"/>
          <w:sz w:val="32"/>
          <w:szCs w:val="32"/>
          <w:highlight w:val="none"/>
          <w:shd w:val="clear" w:color="auto" w:fill="auto"/>
          <w:lang w:val="en-US" w:eastAsia="zh-CN" w:bidi="ar-SA"/>
        </w:rPr>
        <w:t>主要是人员变动。</w:t>
      </w:r>
    </w:p>
    <w:p>
      <w:pPr>
        <w:ind w:firstLine="640" w:firstLineChars="200"/>
        <w:rPr>
          <w:rFonts w:hint="default" w:ascii="Times New Roman" w:hAnsi="Times New Roman" w:eastAsia="仿宋_GB2312" w:cs="Times New Roman"/>
          <w:kern w:val="0"/>
          <w:sz w:val="32"/>
          <w:szCs w:val="32"/>
          <w:highlight w:val="none"/>
          <w:shd w:val="clear" w:color="auto" w:fill="auto"/>
          <w:lang w:val="en-US" w:eastAsia="zh-CN" w:bidi="ar-SA"/>
        </w:rPr>
      </w:pPr>
      <w:r>
        <w:rPr>
          <w:rFonts w:hint="default" w:ascii="Times New Roman" w:hAnsi="Times New Roman" w:eastAsia="仿宋_GB2312" w:cs="Times New Roman"/>
          <w:bCs/>
          <w:kern w:val="0"/>
          <w:sz w:val="32"/>
          <w:szCs w:val="32"/>
          <w:highlight w:val="none"/>
          <w:shd w:val="clear" w:color="auto" w:fill="auto"/>
          <w:lang w:val="en-US" w:eastAsia="zh-CN" w:bidi="ar-SA"/>
        </w:rPr>
        <w:t>18.</w:t>
      </w:r>
      <w:r>
        <w:rPr>
          <w:rFonts w:hint="default" w:ascii="Times New Roman" w:hAnsi="Times New Roman" w:eastAsia="仿宋_GB2312" w:cs="Times New Roman"/>
          <w:kern w:val="0"/>
          <w:sz w:val="32"/>
          <w:szCs w:val="32"/>
          <w:highlight w:val="none"/>
          <w:shd w:val="clear" w:color="auto" w:fill="auto"/>
          <w:lang w:eastAsia="zh-CN"/>
        </w:rPr>
        <w:t>粮油物资储备支出</w:t>
      </w:r>
      <w:r>
        <w:rPr>
          <w:rFonts w:hint="default" w:ascii="Times New Roman" w:hAnsi="Times New Roman" w:eastAsia="仿宋_GB2312" w:cs="Times New Roman"/>
          <w:kern w:val="0"/>
          <w:sz w:val="32"/>
          <w:szCs w:val="32"/>
          <w:highlight w:val="none"/>
          <w:shd w:val="clear" w:color="auto" w:fill="auto"/>
        </w:rPr>
        <w:t>（类）</w:t>
      </w:r>
      <w:r>
        <w:rPr>
          <w:rFonts w:hint="default" w:ascii="Times New Roman" w:hAnsi="Times New Roman" w:eastAsia="仿宋_GB2312" w:cs="Times New Roman"/>
          <w:kern w:val="0"/>
          <w:sz w:val="32"/>
          <w:szCs w:val="32"/>
          <w:highlight w:val="none"/>
          <w:shd w:val="clear" w:color="auto" w:fill="auto"/>
          <w:lang w:eastAsia="zh-CN"/>
        </w:rPr>
        <w:t>粮油物资事务</w:t>
      </w:r>
      <w:r>
        <w:rPr>
          <w:rFonts w:hint="default" w:ascii="Times New Roman" w:hAnsi="Times New Roman" w:eastAsia="仿宋_GB2312" w:cs="Times New Roman"/>
          <w:kern w:val="0"/>
          <w:sz w:val="32"/>
          <w:szCs w:val="32"/>
          <w:highlight w:val="none"/>
          <w:shd w:val="clear" w:color="auto" w:fill="auto"/>
        </w:rPr>
        <w:t>（款）</w:t>
      </w:r>
      <w:r>
        <w:rPr>
          <w:rFonts w:hint="default" w:ascii="Times New Roman" w:hAnsi="Times New Roman" w:eastAsia="仿宋_GB2312" w:cs="Times New Roman"/>
          <w:kern w:val="0"/>
          <w:sz w:val="32"/>
          <w:szCs w:val="32"/>
          <w:highlight w:val="none"/>
          <w:shd w:val="clear" w:color="auto" w:fill="auto"/>
          <w:lang w:eastAsia="zh-CN"/>
        </w:rPr>
        <w:t>其他粮油物资事务支出</w:t>
      </w:r>
      <w:r>
        <w:rPr>
          <w:rFonts w:hint="default" w:ascii="Times New Roman" w:hAnsi="Times New Roman" w:eastAsia="仿宋_GB2312" w:cs="Times New Roman"/>
          <w:kern w:val="0"/>
          <w:sz w:val="32"/>
          <w:szCs w:val="32"/>
          <w:highlight w:val="none"/>
          <w:shd w:val="clear" w:color="auto" w:fill="auto"/>
        </w:rPr>
        <w:t>（项）</w:t>
      </w:r>
      <w:r>
        <w:rPr>
          <w:rFonts w:hint="default" w:ascii="Times New Roman" w:hAnsi="Times New Roman" w:eastAsia="仿宋_GB2312" w:cs="Times New Roman"/>
          <w:kern w:val="0"/>
          <w:sz w:val="32"/>
          <w:szCs w:val="32"/>
          <w:highlight w:val="none"/>
          <w:shd w:val="clear" w:color="auto" w:fill="auto"/>
          <w:lang w:val="en-US" w:eastAsia="zh-CN" w:bidi="ar-SA"/>
        </w:rPr>
        <w:t>2025年预算841.35万元，比2024年预算</w:t>
      </w:r>
      <w:r>
        <w:rPr>
          <w:rFonts w:hint="default" w:ascii="Times New Roman" w:hAnsi="Times New Roman" w:eastAsia="仿宋_GB2312" w:cs="Times New Roman"/>
          <w:kern w:val="0"/>
          <w:sz w:val="32"/>
          <w:szCs w:val="32"/>
          <w:shd w:val="clear" w:color="auto" w:fill="auto"/>
          <w:lang w:val="en-US" w:eastAsia="zh-CN" w:bidi="ar-SA"/>
        </w:rPr>
        <w:t>减少258.65万元，下降23.51%</w:t>
      </w:r>
      <w:r>
        <w:rPr>
          <w:rFonts w:hint="default" w:ascii="Times New Roman" w:hAnsi="Times New Roman" w:eastAsia="仿宋_GB2312" w:cs="Times New Roman"/>
          <w:kern w:val="0"/>
          <w:sz w:val="32"/>
          <w:szCs w:val="32"/>
          <w:highlight w:val="none"/>
          <w:shd w:val="clear" w:color="auto" w:fill="auto"/>
          <w:lang w:val="en-US" w:eastAsia="zh-CN" w:bidi="ar-SA"/>
        </w:rPr>
        <w:t>，原因主要是储备粮、油保管轮换费用及利息补贴等项目金额减少。</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六、关于2025年一般公共预算基本支出表的说明</w:t>
      </w:r>
    </w:p>
    <w:p>
      <w:pPr>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w:t>
      </w:r>
      <w:r>
        <w:rPr>
          <w:rFonts w:hint="default" w:ascii="Times New Roman" w:hAnsi="Times New Roman" w:eastAsia="仿宋_GB2312" w:cs="Times New Roman"/>
          <w:sz w:val="32"/>
          <w:szCs w:val="32"/>
        </w:rPr>
        <w:t>发展和改革委员会</w:t>
      </w:r>
      <w:r>
        <w:rPr>
          <w:rFonts w:hint="default" w:ascii="Times New Roman" w:hAnsi="Times New Roman" w:eastAsia="仿宋_GB2312" w:cs="Times New Roman"/>
          <w:kern w:val="0"/>
          <w:sz w:val="32"/>
          <w:szCs w:val="32"/>
        </w:rPr>
        <w:t>2025年一般公共预算基本</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lang w:val="en-US" w:eastAsia="zh-CN"/>
        </w:rPr>
        <w:t>2828.25</w:t>
      </w:r>
      <w:r>
        <w:rPr>
          <w:rFonts w:hint="default" w:ascii="Times New Roman" w:hAnsi="Times New Roman" w:eastAsia="仿宋_GB2312" w:cs="Times New Roman"/>
          <w:kern w:val="0"/>
          <w:sz w:val="32"/>
          <w:szCs w:val="32"/>
        </w:rPr>
        <w:t>万元，其中，人员经费</w:t>
      </w:r>
      <w:r>
        <w:rPr>
          <w:rFonts w:hint="default" w:ascii="Times New Roman" w:hAnsi="Times New Roman" w:eastAsia="仿宋_GB2312" w:cs="Times New Roman"/>
          <w:kern w:val="0"/>
          <w:sz w:val="32"/>
          <w:szCs w:val="32"/>
          <w:lang w:val="en-US" w:eastAsia="zh-CN"/>
        </w:rPr>
        <w:t>2568.17</w:t>
      </w:r>
      <w:r>
        <w:rPr>
          <w:rFonts w:hint="default" w:ascii="Times New Roman" w:hAnsi="Times New Roman" w:eastAsia="仿宋_GB2312" w:cs="Times New Roman"/>
          <w:kern w:val="0"/>
          <w:sz w:val="32"/>
          <w:szCs w:val="32"/>
        </w:rPr>
        <w:t>万元，公用经费</w:t>
      </w:r>
      <w:r>
        <w:rPr>
          <w:rFonts w:hint="default" w:ascii="Times New Roman" w:hAnsi="Times New Roman" w:eastAsia="仿宋_GB2312" w:cs="Times New Roman"/>
          <w:kern w:val="0"/>
          <w:sz w:val="32"/>
          <w:szCs w:val="32"/>
          <w:lang w:val="en-US" w:eastAsia="zh-CN"/>
        </w:rPr>
        <w:t>260.08</w:t>
      </w:r>
      <w:r>
        <w:rPr>
          <w:rFonts w:hint="default" w:ascii="Times New Roman" w:hAnsi="Times New Roman" w:eastAsia="仿宋_GB2312" w:cs="Times New Roman"/>
          <w:kern w:val="0"/>
          <w:sz w:val="32"/>
          <w:szCs w:val="32"/>
        </w:rPr>
        <w:t>万元。</w:t>
      </w:r>
    </w:p>
    <w:p>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（一）人员经费</w:t>
      </w:r>
      <w:r>
        <w:rPr>
          <w:rFonts w:hint="default" w:ascii="Times New Roman" w:hAnsi="Times New Roman" w:eastAsia="仿宋_GB2312" w:cs="Times New Roman"/>
          <w:b/>
          <w:kern w:val="0"/>
          <w:sz w:val="32"/>
          <w:szCs w:val="32"/>
          <w:lang w:val="en-US" w:eastAsia="zh-CN"/>
        </w:rPr>
        <w:t>2568.17</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基本工资、津贴补贴、奖金、伙食补助费、绩效工资、机关事业单位基本养老保险费、职业年金缴费、职工基本医疗保险缴费、公务员医疗补助缴费、其他社会保障缴费、工会经费、福利费、住房公积金、医疗费、其他工资福利支出、离休费、退休费、生活补助、医疗费补助、对其他个人和家庭的补助支出</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w:t>
      </w:r>
    </w:p>
    <w:p>
      <w:pPr>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（二）公用经费</w:t>
      </w:r>
      <w:r>
        <w:rPr>
          <w:rFonts w:hint="default" w:ascii="Times New Roman" w:hAnsi="Times New Roman" w:eastAsia="仿宋_GB2312" w:cs="Times New Roman"/>
          <w:b/>
          <w:kern w:val="0"/>
          <w:sz w:val="32"/>
          <w:szCs w:val="32"/>
          <w:lang w:val="en-US" w:eastAsia="zh-CN"/>
        </w:rPr>
        <w:t>260.08</w:t>
      </w:r>
      <w:r>
        <w:rPr>
          <w:rFonts w:hint="default" w:ascii="Times New Roman" w:hAnsi="Times New Roman" w:eastAsia="仿宋_GB2312" w:cs="Times New Roman"/>
          <w:b/>
          <w:kern w:val="0"/>
          <w:sz w:val="32"/>
          <w:szCs w:val="32"/>
        </w:rPr>
        <w:t>万元，</w:t>
      </w:r>
      <w:r>
        <w:rPr>
          <w:rFonts w:hint="default" w:ascii="Times New Roman" w:hAnsi="Times New Roman" w:eastAsia="仿宋_GB2312" w:cs="Times New Roman"/>
          <w:kern w:val="0"/>
          <w:sz w:val="32"/>
          <w:szCs w:val="32"/>
        </w:rPr>
        <w:t>主要包括：办公费、印刷费、水费、电费、邮电费、物业管理费、差旅费、维修（护）费、会议费、培训费、公务接待费、劳务费、委托业务费、公务用车运行维护费、其他交通费用、其他商品服务支出等。</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七、关于2025年政府性基金预算支出表的说明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淮北市发展和改革委员会2025年没有政府性基金预算拨款收入，也没有使用政府性基金预算拨款安排的支出。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八、关于2025年国有资本经营预算支出表的说明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淮北市发展和改革委员会2025年没有国有资本经营预算拨款收入，也没有使用国有资本经营预算拨款安排的支出。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九、关于2025年项目支出表的说明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淮北市发展和改革委员会2025年预算共安排项目支出</w:t>
      </w:r>
      <w:r>
        <w:rPr>
          <w:rFonts w:hint="default" w:ascii="Times New Roman" w:hAnsi="Times New Roman" w:eastAsia="仿宋_GB2312" w:cs="Times New Roman"/>
          <w:kern w:val="0"/>
          <w:sz w:val="32"/>
          <w:szCs w:val="32"/>
          <w:lang w:val="en-US" w:eastAsia="zh-CN"/>
        </w:rPr>
        <w:t>10942.7</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644.7</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6.26</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援藏工作经费等项目金额增加</w:t>
      </w:r>
      <w:r>
        <w:rPr>
          <w:rFonts w:hint="default" w:ascii="Times New Roman" w:hAnsi="Times New Roman" w:eastAsia="仿宋_GB2312" w:cs="Times New Roman"/>
          <w:kern w:val="0"/>
          <w:sz w:val="32"/>
          <w:szCs w:val="32"/>
        </w:rPr>
        <w:t>。主要包括：本年财政拨款安排</w:t>
      </w:r>
      <w:r>
        <w:rPr>
          <w:rFonts w:hint="default" w:ascii="Times New Roman" w:hAnsi="Times New Roman" w:eastAsia="仿宋_GB2312" w:cs="Times New Roman"/>
          <w:kern w:val="0"/>
          <w:sz w:val="32"/>
          <w:szCs w:val="32"/>
          <w:lang w:val="en-US" w:eastAsia="zh-CN"/>
        </w:rPr>
        <w:t>10942.7</w:t>
      </w:r>
      <w:r>
        <w:rPr>
          <w:rFonts w:hint="default" w:ascii="Times New Roman" w:hAnsi="Times New Roman" w:eastAsia="仿宋_GB2312" w:cs="Times New Roman"/>
          <w:kern w:val="0"/>
          <w:sz w:val="32"/>
          <w:szCs w:val="32"/>
        </w:rPr>
        <w:t>万元（其中，一般公共预算拨款安排</w:t>
      </w:r>
      <w:r>
        <w:rPr>
          <w:rFonts w:hint="default" w:ascii="Times New Roman" w:hAnsi="Times New Roman" w:eastAsia="仿宋_GB2312" w:cs="Times New Roman"/>
          <w:kern w:val="0"/>
          <w:sz w:val="32"/>
          <w:szCs w:val="32"/>
          <w:lang w:val="en-US" w:eastAsia="zh-CN"/>
        </w:rPr>
        <w:t>10942.7</w:t>
      </w:r>
      <w:r>
        <w:rPr>
          <w:rFonts w:hint="default" w:ascii="Times New Roman" w:hAnsi="Times New Roman" w:eastAsia="仿宋_GB2312" w:cs="Times New Roman"/>
          <w:kern w:val="0"/>
          <w:sz w:val="32"/>
          <w:szCs w:val="32"/>
        </w:rPr>
        <w:t>万元，政府性基金预算拨款安排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十、关于2025年政府采购支出表的说明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淮北市发展和改革委员会2025年预算安排政府采购支出</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救灾物资经费增加等</w:t>
      </w:r>
      <w:r>
        <w:rPr>
          <w:rFonts w:hint="default" w:ascii="Times New Roman" w:hAnsi="Times New Roman" w:eastAsia="仿宋_GB2312" w:cs="Times New Roman"/>
          <w:kern w:val="0"/>
          <w:sz w:val="32"/>
          <w:szCs w:val="32"/>
        </w:rPr>
        <w:t>。其中，一般公共预算安排</w:t>
      </w:r>
      <w:r>
        <w:rPr>
          <w:rFonts w:hint="default" w:ascii="Times New Roman" w:hAnsi="Times New Roman" w:eastAsia="仿宋_GB2312" w:cs="Times New Roman"/>
          <w:kern w:val="0"/>
          <w:sz w:val="32"/>
          <w:szCs w:val="32"/>
          <w:lang w:val="en-US" w:eastAsia="zh-CN"/>
        </w:rPr>
        <w:t>240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%；政府性基金预算安排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；财政专户管理资金安排</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十一、关于2025年政府购买服务支出表的说明</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淮北市发展和改革委员会2025年没有安排政府购买服务支出。</w:t>
      </w:r>
    </w:p>
    <w:p>
      <w:pPr>
        <w:pStyle w:val="6"/>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十二、关于2025年通用资产配置支出表的说明</w:t>
      </w:r>
    </w:p>
    <w:p>
      <w:pPr>
        <w:pStyle w:val="6"/>
        <w:adjustRightInd w:val="0"/>
        <w:snapToGrid w:val="0"/>
        <w:spacing w:line="560" w:lineRule="exact"/>
        <w:ind w:firstLine="640" w:firstLineChars="200"/>
        <w:outlineLvl w:val="0"/>
        <w:rPr>
          <w:rFonts w:hint="default" w:ascii="Times New Roman" w:hAnsi="Times New Roman" w:cs="Times New Roman"/>
        </w:rPr>
      </w:pPr>
      <w:r>
        <w:rPr>
          <w:rFonts w:hint="default" w:ascii="Times New Roman" w:hAnsi="Times New Roman" w:eastAsia="仿宋_GB2312" w:cs="Times New Roman"/>
          <w:sz w:val="32"/>
          <w:szCs w:val="32"/>
        </w:rPr>
        <w:t>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sz w:val="32"/>
          <w:szCs w:val="32"/>
        </w:rPr>
        <w:t>2025年没有安排通用资产配置支出。</w:t>
      </w:r>
    </w:p>
    <w:p>
      <w:pPr>
        <w:pStyle w:val="6"/>
        <w:adjustRightInd w:val="0"/>
        <w:snapToGrid w:val="0"/>
        <w:spacing w:line="560" w:lineRule="exact"/>
        <w:ind w:firstLine="627" w:firstLineChars="196"/>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w:t>
      </w:r>
      <w:r>
        <w:rPr>
          <w:rFonts w:hint="default" w:ascii="Times New Roman" w:hAnsi="Times New Roman" w:eastAsia="黑体" w:cs="Times New Roman"/>
          <w:bCs/>
          <w:sz w:val="32"/>
          <w:szCs w:val="32"/>
          <w:lang w:eastAsia="zh-CN"/>
        </w:rPr>
        <w:t>三</w:t>
      </w:r>
      <w:r>
        <w:rPr>
          <w:rFonts w:hint="default" w:ascii="Times New Roman" w:hAnsi="Times New Roman" w:eastAsia="黑体" w:cs="Times New Roman"/>
          <w:bCs/>
          <w:sz w:val="32"/>
          <w:szCs w:val="32"/>
        </w:rPr>
        <w:t>、其他重要事项情况说明</w:t>
      </w:r>
    </w:p>
    <w:p>
      <w:pPr>
        <w:adjustRightInd w:val="0"/>
        <w:snapToGrid w:val="0"/>
        <w:spacing w:line="58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（一）项目及绩效目标情况。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工作经费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（1）项目概述。保障全市发展改革工作</w:t>
      </w:r>
      <w:r>
        <w:rPr>
          <w:rFonts w:hint="default" w:ascii="Times New Roman" w:hAnsi="Times New Roman" w:eastAsia="仿宋_GB2312" w:cs="Times New Roman"/>
          <w:kern w:val="0"/>
          <w:sz w:val="32"/>
          <w:szCs w:val="32"/>
          <w:lang w:eastAsia="zh-CN"/>
        </w:rPr>
        <w:t>经费</w:t>
      </w:r>
      <w:r>
        <w:rPr>
          <w:rFonts w:hint="default" w:ascii="Times New Roman" w:hAnsi="Times New Roman" w:eastAsia="仿宋_GB2312" w:cs="Times New Roman"/>
          <w:kern w:val="0"/>
          <w:sz w:val="32"/>
          <w:szCs w:val="32"/>
        </w:rPr>
        <w:t>、全市粮食和物资储备工作</w:t>
      </w:r>
      <w:r>
        <w:rPr>
          <w:rFonts w:hint="default" w:ascii="Times New Roman" w:hAnsi="Times New Roman" w:eastAsia="仿宋_GB2312" w:cs="Times New Roman"/>
          <w:kern w:val="0"/>
          <w:sz w:val="32"/>
          <w:szCs w:val="32"/>
          <w:lang w:eastAsia="zh-CN"/>
        </w:rPr>
        <w:t>经费</w:t>
      </w:r>
      <w:r>
        <w:rPr>
          <w:rFonts w:hint="default" w:ascii="Times New Roman" w:hAnsi="Times New Roman" w:eastAsia="仿宋_GB2312" w:cs="Times New Roman"/>
          <w:kern w:val="0"/>
          <w:sz w:val="32"/>
          <w:szCs w:val="32"/>
        </w:rPr>
        <w:t>、项目评估费、淮北市2025年度资源枯竭城市转型绩效评价自评报告等考核项目以及规划编制等日常办公所需经费。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（2）立项依据。淮政办[2010]81号文件规定、淮政办</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2015</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15号文件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淮粮财[2014]39号财政批复; 安徽省粮食局关于下达粮食质量安全监测分解目标任务的通知</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皖粮仓函[2017]85号</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国办发[2018]61号文; 国家发改委、国家粮食局、国家统计局《关于切实加强粮食统计工作的通知》（国粮调[2004]19号）;《安徽省人民政府关于落实粮食安全省长责任制的实施意见》（皖政[2015]64号</w:t>
      </w:r>
      <w:r>
        <w:rPr>
          <w:rFonts w:hint="default" w:ascii="Times New Roman" w:hAnsi="Times New Roman" w:eastAsia="仿宋_GB2312" w:cs="Times New Roman"/>
          <w:kern w:val="0"/>
          <w:sz w:val="32"/>
          <w:szCs w:val="32"/>
          <w:lang w:val="en-US" w:eastAsia="zh-CN"/>
        </w:rPr>
        <w:t>)等。</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color w:val="auto"/>
          <w:sz w:val="32"/>
          <w:szCs w:val="32"/>
        </w:rPr>
        <w:t>保障全市发展改革工作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全市粮食和物资储备工作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rPr>
        <w:t>履行粮食行政执法职能; 淮北市粮食局承担粮食质量安全监测任务; 履行全国粮食库存数量和质量大清查; 粮食行政主管部门严格执行国家粮食统计制度，做好粮食定期统计、社会粮食供需平衡调查、粮食供求监测工作</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rPr>
        <w:t>淮北市2025年度资源枯竭城市转型绩效评价自评报告等考核项目以及规划编制</w:t>
      </w:r>
      <w:r>
        <w:rPr>
          <w:rFonts w:hint="default" w:ascii="Times New Roman" w:hAnsi="Times New Roman" w:eastAsia="仿宋_GB2312" w:cs="Times New Roman"/>
          <w:color w:val="auto"/>
          <w:sz w:val="32"/>
          <w:szCs w:val="32"/>
          <w:lang w:eastAsia="zh-CN"/>
        </w:rPr>
        <w:t>；保障发改工作</w:t>
      </w:r>
      <w:r>
        <w:rPr>
          <w:rFonts w:hint="default" w:ascii="Times New Roman" w:hAnsi="Times New Roman" w:eastAsia="仿宋_GB2312" w:cs="Times New Roman"/>
          <w:color w:val="auto"/>
          <w:sz w:val="32"/>
          <w:szCs w:val="32"/>
        </w:rPr>
        <w:t>日常办公所需</w:t>
      </w:r>
      <w:r>
        <w:rPr>
          <w:rFonts w:hint="default" w:ascii="Times New Roman" w:hAnsi="Times New Roman" w:eastAsia="仿宋_GB2312" w:cs="Times New Roman"/>
          <w:color w:val="auto"/>
          <w:sz w:val="32"/>
          <w:szCs w:val="32"/>
          <w:lang w:eastAsia="zh-CN"/>
        </w:rPr>
        <w:t>各项</w:t>
      </w:r>
      <w:r>
        <w:rPr>
          <w:rFonts w:hint="default" w:ascii="Times New Roman" w:hAnsi="Times New Roman" w:eastAsia="仿宋_GB2312" w:cs="Times New Roman"/>
          <w:color w:val="auto"/>
          <w:sz w:val="32"/>
          <w:szCs w:val="32"/>
        </w:rPr>
        <w:t>经费，保障单位及时开展各项业务，使资金可以正常合理支付</w:t>
      </w:r>
      <w:r>
        <w:rPr>
          <w:rFonts w:hint="default" w:ascii="Times New Roman" w:hAnsi="Times New Roman" w:eastAsia="仿宋_GB2312" w:cs="Times New Roman"/>
          <w:color w:val="auto"/>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176万元</w:t>
      </w:r>
    </w:p>
    <w:p>
      <w:pPr>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7）绩效目标。维持正常办公、保障全市粮食和物资储备工作、全年实现生产总值、固定资产投资等指标同比均实现增长，居民消费价格同比下降；.推动经济转型升级、新旧动能转换加速、推进区域城乡统筹发展、优化营商环境等。</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eastAsia="zh-CN"/>
        </w:rPr>
        <w:t>办公大楼运行经费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sz w:val="32"/>
          <w:szCs w:val="32"/>
        </w:rPr>
        <w:t>用于办公大楼运行维护、物业管理费用、环境卫生管理、绿化养护及水电费用。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szCs w:val="32"/>
        </w:rPr>
        <w:t>根据淮北市政府市长办公会议纪要第10号文件</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用于办公大楼运行维护、物业管理费用、环境卫生管理、绿化养护及水电费用。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43.74万元。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（7）绩效目标。物业管理费用、环境卫生管理、绿化养护及水电费用保障到位</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粮食质量监测费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（1）项目概述。“主食厨房”、“放心粮油”、“智慧皖粮”信息化系统设备、数据质量进行维护；开展全市粮食质量监管和监测工作；按照上级要求开展全市粮食质量安全风险监测工作。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（2）立项依据。《粮食质量安全风险监测管理暂行办法</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关于印发2023年安徽省粮食质量安全风险监测方案的通知</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关于分解落实2023年度粮食产业化和粮食质量安全监测目标的通知》</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皖粮仓函〔2023〕104号</w:t>
      </w:r>
      <w:r>
        <w:rPr>
          <w:rFonts w:hint="eastAsia"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pStyle w:val="12"/>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rPr>
        <w:t>对</w:t>
      </w:r>
      <w:r>
        <w:rPr>
          <w:rFonts w:hint="default" w:ascii="Times New Roman" w:hAnsi="Times New Roman" w:eastAsia="仿宋_GB2312" w:cs="Times New Roman"/>
          <w:kern w:val="0"/>
          <w:sz w:val="32"/>
          <w:szCs w:val="32"/>
        </w:rPr>
        <w:t>“主食厨房”、“放心粮油”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rPr>
        <w:t>“智慧皖粮”信息化系统设备、数据质量进行维护</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按照上级要求开展全市粮食质量安全风险监测工作</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kern w:val="0"/>
          <w:sz w:val="32"/>
          <w:szCs w:val="32"/>
        </w:rPr>
        <w:t>开展全市粮食质量安全风险监测工作。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44.71万元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（7）绩效目标。“智慧皖粮”信息化系统稳定运行、完成省里规定的粮食质量检验监测目标、完成省里下达的粮食质量风险安全监测任务。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民生工程管理费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（1）项目概述。全市民生工程目标管理绩效考核奖励</w:t>
      </w:r>
      <w:r>
        <w:rPr>
          <w:rFonts w:hint="default" w:ascii="Times New Roman" w:hAnsi="Times New Roman" w:eastAsia="仿宋_GB2312" w:cs="Times New Roman"/>
          <w:kern w:val="0"/>
          <w:sz w:val="32"/>
          <w:szCs w:val="32"/>
          <w:lang w:eastAsia="zh-CN"/>
        </w:rPr>
        <w:t>以及民生</w:t>
      </w:r>
      <w:r>
        <w:rPr>
          <w:rFonts w:hint="default" w:ascii="Times New Roman" w:hAnsi="Times New Roman" w:eastAsia="仿宋_GB2312" w:cs="Times New Roman"/>
          <w:kern w:val="0"/>
          <w:sz w:val="32"/>
          <w:szCs w:val="32"/>
        </w:rPr>
        <w:t>宣传、差旅、印刷、考核评价、系统运维等费用</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（2）立项依据。参照安徽省2024年民生实事考核评分细则 、市民生工作领导小组办公室《 淮北市民生工程工作考核评价办法（试行）》</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持续做好2025年民生工程工作,根据考核结果，对承担50项民生实事的县区开展目标管理绩效考核，依据考核结果进行奖惩并兑现目标考核资金。另包含民生宣传、差旅、印刷、考核评价、系统运维等费用。通过群众喜闻乐见的方式将暖民心行动各项惠民政策、工作成果及时向群众宣传，切实提高群众知晓率和满意度；加强与省民生办沟通协调，及时了解暖民心行动最新工作动态；开展民生工程督查检查，及时发现问题和不足，补齐短板弱项，进一步提升民生工程实施效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120.06万元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援藏工作经费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（1）项目概述。选派援藏干部赴西藏工作是深入贯彻党的治藏方略以及第七次西藏工作座谈会精神、落实省委、省政府对口援藏相关工作部署的重要举措。</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（2）立项依据。中共措美县委员会、措美县人民政府《关于请求解决援藏项目资金的报告》（措委〔2022〕52号）</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5）项目内容。根据2022年12月3日安徽省第八批援藏工作队与市委、市政府座谈会精神，以及中共措美县委员会、措美县人民政府《关于请求解决援藏项目资金的报告》（措委〔2022〕52号）要求，省第八批援藏措美县工作组援藏期间将实施措美县哲古镇哲古社区皖韵街及安置房建设、县城区道路（淮北路）及基础设施建设、安徽省小康示范村改造提升、交流交往交融、产业扶持及民生5个项目，</w:t>
      </w:r>
      <w:r>
        <w:rPr>
          <w:rFonts w:hint="default" w:ascii="Times New Roman" w:hAnsi="Times New Roman" w:eastAsia="仿宋_GB2312" w:cs="Times New Roman"/>
          <w:kern w:val="0"/>
          <w:sz w:val="32"/>
          <w:szCs w:val="32"/>
          <w:lang w:eastAsia="zh-CN"/>
        </w:rPr>
        <w:t>根据需要</w:t>
      </w:r>
      <w:r>
        <w:rPr>
          <w:rFonts w:hint="default" w:ascii="Times New Roman" w:hAnsi="Times New Roman" w:eastAsia="仿宋_GB2312" w:cs="Times New Roman"/>
          <w:kern w:val="0"/>
          <w:sz w:val="32"/>
          <w:szCs w:val="32"/>
        </w:rPr>
        <w:t>解决措美县援藏项目资金</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1005万元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（7）绩效目标。加大援藏工作力度，加快项目实施落地，推进项目取得实效。促进汉藏民族交往交流交融,铸牢中华民族共同体意识</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淮北市综合金融服务平台</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（1）项目概述。淮北市综合金融服务平台项目建设主要包括软件开发、系统实施和软件测评及安全三级等保等</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2）立项依据。《关于印发淮北市2021年度市本级政府投资项目指导计划（调整稿）的通知》（淮发改投资〔2021〕412号）《淮北市人民政府办公室关于印发2022年政府网站及政务新媒体工作要点的通知》（淮政办秘〔2022〕24号） </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（5）项目内容。淮北市综合金融服务平台项目建设主要包括软件开发、系统实施和软件测评及安全三级等保等</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内容分为2个服务门户、4个管理平台、6个金融科技服务、银企智能撮合和税融通创新服务2大应用、金融服务数据库。按照省市综合金融服务平台一体化建设运行推进会安排，市级平台完成与省综合金融服务平台一体化建设运行。</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24.20万元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淮北市综合金融服务平台依托政府数据中心，以中小微企业金融服务事项的一体化办理为核心，依托大数据、云计算等先进技术，通过整合政府扶持政策、公共信用信息、企业金融需求、金融服务产品等各类资源，建立“一张网”覆盖全市中小微企业、“一键式”实现融资供需对接、“一站式”提升综合金融服务、“一次性”查询企业政务信息、“360度”提供贷后风险预警的五维金融服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长江三角洲城市经济协调会会费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长三角洲城市经济协调会是1997年长三角区域城市发起成立的由各市市长或分管副市长参加的会议组织。会议每年举行一次，主要任务是根据长三角地区主要领导人座谈会精神，推进长三角区域一体化发展。2019年6月12日我市向长三角洲城市经济协调会办公室正式发函提交申请。2019年7月，城市经济协调会在芜湖举行，吸纳我市加入长三角洲城市经济协调会，成为会员城市每年须缴纳会费10万元。</w:t>
      </w:r>
    </w:p>
    <w:p>
      <w:pPr>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rPr>
        <w:t>长江三角洲城市经济协调会章程</w:t>
      </w:r>
      <w:r>
        <w:rPr>
          <w:rFonts w:hint="default" w:ascii="Times New Roman" w:hAnsi="Times New Roman" w:eastAsia="仿宋_GB2312" w:cs="Times New Roman"/>
          <w:sz w:val="32"/>
          <w:lang w:eastAsia="zh-CN"/>
        </w:rPr>
        <w:t>、长江三角洲城市经济协调会办公室《关于缴纳长三角城市经济协调会2025年度会费的通知》</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rPr>
        <w:t>支持长江三角洲区域一体化发展并上升为国家战略，着力落实新发展理念，构建现代化经济体系，推进更高起点的深化改革和更高层次的对外开放，同“一带一路”建设、京津冀协同发展、长江经济带发展、粤港澳大湾区建设相互配合，完善中国改革开放空间布局。</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10万元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（7）绩效目标。参加2024年度长三角洲城市经济协调会，深度融入长三角一体化发展。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救灾物资经费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（1）项目概述。</w:t>
      </w:r>
      <w:r>
        <w:rPr>
          <w:rFonts w:hint="default" w:ascii="Times New Roman" w:hAnsi="Times New Roman" w:eastAsia="仿宋_GB2312" w:cs="Times New Roman"/>
          <w:sz w:val="32"/>
        </w:rPr>
        <w:t>为了提高救灾应急能力，用于保障受灾人员基本生活，以及省级救灾物资储备、调拨，进一步提高我市应对自然灾害的物资保障能力，进行物资储备及管理。</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根据《淮北市市级救灾物资调用管理暂行办法》（淮应急[2019]76号）文件；《加强战略和应急物资储备的任务分解》（文件涉密）和《淮北市减灾救灾委员会办公室关于印发2024年救灾物资储备计划的通知》。</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rPr>
        <w:t>委托第三方机构用于储存救灾物资所发生的仓储占用费、仓储维护费、物资保险费、物资维修保养费、人工费和物资短途装运费的支出。救灾仓储设施设备维护保养，救灾物资全年委托管理费用为代储省级救灾物资。</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178.08万元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（7）绩效目标。建立健全救灾物资保障体系，确保救灾物资储备品种齐全、供应及时，切实保障受灾群众基本生活，维护社会稳定。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固投及节能业务经费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（1）项目概述。固定资产投资及节能项目审查评审费、公共机构节能经费、节能监察业务经费</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（2）立项依据。固定资产投资项目节能审查办法、安徽省固定资产投资项目节能审查实施办法、安徽区域能评暂行办法；根据《中华人民共和国节约能源法》《节能监察办法》。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pageBreakBefore w:val="0"/>
        <w:kinsoku/>
        <w:wordWrap/>
        <w:overflowPunct/>
        <w:topLinePunct w:val="0"/>
        <w:bidi w:val="0"/>
        <w:spacing w:line="240" w:lineRule="auto"/>
        <w:ind w:right="0" w:righ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color w:val="auto"/>
          <w:sz w:val="32"/>
          <w:szCs w:val="32"/>
        </w:rPr>
        <w:t>加强固定资产投资项目节能管理，促进科学合理利用能源，从源头上杜绝能源浪费，提高能源利用效率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根据《中华人民共和国节约能源法》和《国务院关于加强节能工作的决定》，进行</w:t>
      </w:r>
      <w:r>
        <w:rPr>
          <w:rStyle w:val="8"/>
          <w:rFonts w:hint="default" w:ascii="Times New Roman" w:hAnsi="Times New Roman" w:eastAsia="仿宋_GB2312" w:cs="Times New Roman"/>
          <w:b w:val="0"/>
          <w:color w:val="auto"/>
          <w:sz w:val="32"/>
          <w:szCs w:val="32"/>
        </w:rPr>
        <w:t>固定资产投资项目节能评估和审查</w:t>
      </w:r>
      <w:r>
        <w:rPr>
          <w:rStyle w:val="8"/>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color w:val="auto"/>
          <w:sz w:val="32"/>
        </w:rPr>
        <w:t>按照国家、省、市各级政府及公共机构节能主管部门的要求，对于全市300余家全部或者部分使用财政性资金的国家机关、事业单位和团体组织等公共机构组织实施能节约型机关创建、垃圾分类、能源资源节约宣传、督查、考核、培训、耗数据填报等工作</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rPr>
        <w:t>依法指导全市各县区、各行业主管部门对能源生产、经营、使用单位和其他相关单位执行节能法律、法规、规章和强制性节能标准的情况等进行监督监察检查工作，对全市范围内重点用能单位开展年度能源审计。用于节能评估、节能监察的经费。</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115.92万元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（7）绩效目标。做好市级权限内的固定资产投资项目节能审查工作，做好省级委托的固定资产投资项目节能审查工作，严控新上高耗能项目，促进科学合理利用能源</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完成国家、省、市各级政府及公共机构节能主管部门的下达的年度国家机关、事业单位和团体组织等公共机构组织关于节约型机关创建、垃圾分类、反食品浪费等能源资源节约方面的宣传、督查、考核、培训、耗数据填报相关工作。 依法指导全市各县区、各行业主管部门对能源生产、经营、使用单位和其他相关单位执行节能法律、法规、规章和强制性节能标准的情况等进行监督监察检查工作，督促对发现的违法违规用能行为予以处理，并提出依法用能，合理用能建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市级储备粮油保管、轮换费用、轮换价差及利息补贴</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（1）项目概述。根据淮北市市级储备粮管理办法，现有市级储备粮36200吨，成品粮3800吨、成品油1000吨。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安徽省人民政府办公厅《关于进一步做好粮油供应稳定市场价格工作的通知》（皖政密电[2008]1号）和《关于下达市县粮食储备规模计划的通知》（皖政办[2009]4号），淮北市粮食局、财政局、农发行联合下文的《关于市级政府储备粮轮换保管费用和奖励有关事项的通知》（淮发改储备[2024]14号）。</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color w:val="auto"/>
          <w:sz w:val="32"/>
          <w:szCs w:val="32"/>
        </w:rPr>
        <w:t>根据淮北市市级储备粮管理办法，现有市级储备粮36200吨，成品粮3800吨、成品油1000吨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2025年市储粮小麦保管费、轮换费、利息总计655.95万元。2025年市级成品油储备费用、利息及2024年轮换价亏为88.55万元。2025年市级成品面粉储备费用及利息96.85万元。2025年市级储备粮油费用及利息总计841.35万元。</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841.35万元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平衡我市粮食市场供需、防止粮食价格出现大幅波动,维持正常粮食流通秩序，实施经济调控的专项资金，贯彻落实粮食安全省长责任制，确保粮食市场宏观调控有力，防范粮食市场重大风险，维护社会稳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信用体系运行费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开展信用文化宣传工作，夯实信用社会环境基础；开展信用交流与培训，提升各县区、各部门信用工作水平，信用专题授课分析,加强全市社会信用体系建设专题培训；做好社会信用体系建设规划。加强城市信用状况监测分析，巩固城市信用监测排名；实施信用惠民便企应用提升工程；对信用信息归集公示、严重失信主体治理等内容进行季度评估；梳理示范城市评测复核重点，做好示范市复评考核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国务院办公厅关于印发统筹融资信用服务平台建设提升中小微企业融资便利水平实施方案的通知》、国家公共信用信息中心关于印发全国中小企业融资综合信用服务平台授权管理规范（2023版）的通知、国家公共信用信息中心关于优化调整《城市信用状况监测预警指标（2024年版）》部分指标项的通知、《国家发改委关于完善政府诚信履约机制优化民营经济发展环境的通知》、《中共中央国务院关于促进民营经济发展壮大的意见》、《安徽省推进社会信用体系建设高质量发展行动方案》《中共中央国务院关于促进民营经济发展壮大的意见》、《国务院关于进一步优化政务服务提升行政效能推动“高效办成一件事”的指导意见》、《安徽省社会信用体系建设联席会议办公室关于印发安徽省 2024 年社会信用体系建设工作要点的通知》</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开展信用文化宣传工作，夯实信用社会环境基础；开展信用交流与培训，提升各县区、各部门信用工作水平，信用专题授课分析,加强全市社会信用体系建设专题培训；做好社会信用体系建设规划。加强城市信用状况监测分析，巩固城市信用监测排名；实施信用惠民便企应用提升工程；对信用信息归集公示、严重失信主体治理等内容进行季度评估；梳理示范城市评测复核重点，做好示范市复评考核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104.84万元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w:t>
      </w:r>
      <w:r>
        <w:rPr>
          <w:rFonts w:hint="default" w:ascii="Times New Roman" w:hAnsi="Times New Roman" w:eastAsia="仿宋_GB2312" w:cs="Times New Roman"/>
          <w:kern w:val="0"/>
          <w:sz w:val="32"/>
          <w:szCs w:val="32"/>
          <w:lang w:val="en-US" w:eastAsia="zh-CN"/>
        </w:rPr>
        <w:t>持续优化营商环境工作；做好城市信用状况监测，巩固淮北市在全国城市信用监测排名；做好信用全省目标管理绩效考核工作；全面做好信用示范市复评工作。</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价格监测惠民经费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（1）项目概述。“民生实事惠民菜篮子”项目</w:t>
      </w:r>
      <w:r>
        <w:rPr>
          <w:rFonts w:hint="default" w:ascii="Times New Roman" w:hAnsi="Times New Roman" w:eastAsia="仿宋_GB2312" w:cs="Times New Roman"/>
          <w:kern w:val="0"/>
          <w:sz w:val="32"/>
          <w:szCs w:val="32"/>
          <w:lang w:eastAsia="zh-CN"/>
        </w:rPr>
        <w:t>经费、</w:t>
      </w:r>
      <w:r>
        <w:rPr>
          <w:rFonts w:hint="default" w:ascii="Times New Roman" w:hAnsi="Times New Roman" w:eastAsia="仿宋_GB2312" w:cs="Times New Roman"/>
          <w:kern w:val="0"/>
          <w:sz w:val="32"/>
          <w:szCs w:val="32"/>
        </w:rPr>
        <w:t>对国务院和省人民政府确定的重要商品、服务价格和成本的变动进行跟踪、采集、分析和公布，为政府宏观调控提供依据，保障市场物价稳定。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安徽省价格监测预警管理办法；《安徽省民生工作领导小组关于2023年实施50项民生实事的通知》、《安徽省发改委关于”惠民菜篮子“提升行动方案》、《淮北市“惠民菜篮子”运营实施方案》等</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（3）实施主体。淮北市发展和改革委员会</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全市已建立国家省市价格监测点80个，对国务院和省人民政府确定的重要商品、服务价格和成本的变动进行跟踪、采集、分析和公布，为政府宏观调控提供依据，保障市场物价稳定。我市已建立惠民菜篮子25家门店：其中家家悦超市17家，大润发2家，佳和超市5家,优乐多1家，重大节日期间（春节、五一、国庆等）重大节日期间启动25家惠民菜篮子门店为期约60天，平价销售农副产品不低于20个品种，其中蔬菜不低于15个品种低于市场价15%,粮油肉禽蛋低于市场价5%，保障民生，稳定市场物价。</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24.43万元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（7）绩效目标。强化惠民菜篮子建设，保持我市物价总水平基本稳定；完成对国务院和省人民政府确定的重要商品、服务价格和成本的变动进行跟踪、采集、分析和公布的活动。</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重点项目工作经费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（1）项目概述。编制重点项目建设计划，分析监测重点项目推进实施情况，协调全市重大建设项目有关问题；组织编报铁路建设相关规划，组织协调铁路建设项目的报批和实施工作。</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szCs w:val="32"/>
        </w:rPr>
        <w:t>淮编办【2012】11号文件</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w:t>
      </w:r>
      <w:r>
        <w:rPr>
          <w:rFonts w:hint="default" w:ascii="Times New Roman" w:hAnsi="Times New Roman" w:eastAsia="仿宋_GB2312" w:cs="Times New Roman"/>
          <w:kern w:val="0"/>
          <w:sz w:val="32"/>
          <w:szCs w:val="32"/>
          <w:lang w:val="en-US" w:eastAsia="zh-CN"/>
        </w:rPr>
        <w:t>重点建设项目办公室</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谋划全市重大项目及可行性论证工作、编制重点项目储备库、组织召开全市重点项目联席会议、调度全市共同谋划项目；拟定全市重点项目投资计划、协调督查重大项目建设；负责组织实施省重点建设项目；组织协调铁路建设项目的报批和实施工作</w:t>
      </w:r>
      <w:r>
        <w:rPr>
          <w:rFonts w:hint="default" w:ascii="Times New Roman" w:hAnsi="Times New Roman" w:eastAsia="仿宋_GB2312" w:cs="Times New Roman"/>
          <w:kern w:val="0"/>
          <w:sz w:val="32"/>
          <w:szCs w:val="32"/>
          <w:lang w:eastAsia="zh-CN"/>
        </w:rPr>
        <w:t>。</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28.48万元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（7）绩效目标。编制年度重点项目计划，调度重点项目推进情况，保障重点项目顺利实施。</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淮萧客车联络线运营亏损补贴</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（1）项目概述。为使建成后的线路能持续运营，保障我市群众出行，对淮北至萧县北客车联络线运营后亏损进行补贴。</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szCs w:val="32"/>
          <w:lang w:val="en-US" w:eastAsia="zh-CN"/>
        </w:rPr>
        <w:t>根据2020年淮北市人民政府第40次、第46次常务会议纪要，淮政秘[2014]51号及《淮北至萧县客车联络线运营亏损补贴协议》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（3）实施主体。淮北市</w:t>
      </w:r>
      <w:r>
        <w:rPr>
          <w:rFonts w:hint="default" w:ascii="Times New Roman" w:hAnsi="Times New Roman" w:eastAsia="仿宋_GB2312" w:cs="Times New Roman"/>
          <w:kern w:val="0"/>
          <w:sz w:val="32"/>
          <w:szCs w:val="32"/>
          <w:lang w:val="en-US" w:eastAsia="zh-CN"/>
        </w:rPr>
        <w:t>重点建设项目办公室</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为促进地方经济发展，构建淮北市对外便捷客运通道满足城市转型需要，我市建设淮北至萧县北客车联络线，项目全线长27公里，时速250千米每小时。根据《淮北至萧县北客车联络线运营亏损补贴协议》，我市需对淮北至萧县北客车联络线运营亏损进行货币补贴，按季预支付、按年统一审计结算。</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6500万元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（7）绩效目标。建成后的线路能持续运营,保障我市群众出行，持续增加淮北对外经济、文化、人员等方面交流，促进淮北外向型经济发展。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淮北市增开高铁班次的经济补贴</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（1）项目概述。为使建成后的线路能持续运营，对淮北站增开淮北至北京、上海、合肥等高铁列车进行经济补贴。</w:t>
      </w:r>
    </w:p>
    <w:p>
      <w:pPr>
        <w:pStyle w:val="12"/>
        <w:keepNext w:val="0"/>
        <w:keepLines w:val="0"/>
        <w:pageBreakBefore w:val="0"/>
        <w:kinsoku/>
        <w:wordWrap/>
        <w:overflowPunct/>
        <w:topLinePunct w:val="0"/>
        <w:autoSpaceDE/>
        <w:autoSpaceDN/>
        <w:bidi w:val="0"/>
        <w:adjustRightInd w:val="0"/>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color w:val="000000"/>
          <w:sz w:val="32"/>
          <w:szCs w:val="32"/>
          <w:lang w:eastAsia="zh-CN"/>
        </w:rPr>
        <w:t>根据</w:t>
      </w:r>
      <w:r>
        <w:rPr>
          <w:rFonts w:hint="default" w:ascii="Times New Roman" w:hAnsi="Times New Roman" w:eastAsia="仿宋_GB2312" w:cs="Times New Roman"/>
          <w:color w:val="000000"/>
          <w:sz w:val="32"/>
          <w:szCs w:val="32"/>
        </w:rPr>
        <w:t>2020年淮北市人民政府第40次</w:t>
      </w:r>
      <w:r>
        <w:rPr>
          <w:rFonts w:hint="default" w:ascii="Times New Roman" w:hAnsi="Times New Roman" w:eastAsia="仿宋_GB2312" w:cs="Times New Roman"/>
          <w:color w:val="000000"/>
          <w:sz w:val="32"/>
          <w:szCs w:val="32"/>
          <w:lang w:eastAsia="zh-CN"/>
        </w:rPr>
        <w:t>、第</w:t>
      </w:r>
      <w:r>
        <w:rPr>
          <w:rFonts w:hint="default" w:ascii="Times New Roman" w:hAnsi="Times New Roman" w:eastAsia="仿宋_GB2312" w:cs="Times New Roman"/>
          <w:color w:val="000000"/>
          <w:sz w:val="32"/>
          <w:szCs w:val="32"/>
          <w:lang w:val="en-US" w:eastAsia="zh-CN"/>
        </w:rPr>
        <w:t>46次</w:t>
      </w:r>
      <w:r>
        <w:rPr>
          <w:rFonts w:hint="default" w:ascii="Times New Roman" w:hAnsi="Times New Roman" w:eastAsia="仿宋_GB2312" w:cs="Times New Roman"/>
          <w:color w:val="000000"/>
          <w:sz w:val="32"/>
          <w:szCs w:val="32"/>
        </w:rPr>
        <w:t>常务会议纪要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淮政秘[2014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51号</w:t>
      </w:r>
      <w:r>
        <w:rPr>
          <w:rFonts w:hint="default" w:ascii="Times New Roman" w:hAnsi="Times New Roman" w:eastAsia="仿宋_GB2312" w:cs="Times New Roman"/>
          <w:sz w:val="32"/>
          <w:szCs w:val="32"/>
          <w:lang w:eastAsia="zh-CN"/>
        </w:rPr>
        <w:t>。</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（3）实施主体。淮北市</w:t>
      </w:r>
      <w:r>
        <w:rPr>
          <w:rFonts w:hint="default" w:ascii="Times New Roman" w:hAnsi="Times New Roman" w:eastAsia="仿宋_GB2312" w:cs="Times New Roman"/>
          <w:kern w:val="0"/>
          <w:sz w:val="32"/>
          <w:szCs w:val="32"/>
          <w:lang w:val="en-US" w:eastAsia="zh-CN"/>
        </w:rPr>
        <w:t>重点建设项目办公室</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为满足人民出行需要，增开至合肥、上海方向高铁班次，因现有高铁班次无法满足人民出行需求，增开至上海、合肥方向高铁班次，可满足我市与长三角发达地区经济文化交流。</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1700万元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（7）绩效目标。保障我市群众出行，持续增加淮北对外经济、文化、人员等方面交流，促进淮北外向型经济发展。</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价格认定工作经费</w:t>
      </w:r>
      <w:r>
        <w:rPr>
          <w:rFonts w:hint="default" w:ascii="Times New Roman" w:hAnsi="Times New Roman" w:eastAsia="仿宋_GB2312" w:cs="Times New Roman"/>
          <w:kern w:val="0"/>
          <w:sz w:val="32"/>
          <w:szCs w:val="32"/>
        </w:rPr>
        <w:t>”项目。</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（1）项目概述。涉案、涉税、涉纪价格认定工作，开展价格争议调解处理工作；推进信息化建设工作，推进价格认定价格采集点以及专家库建设工作。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（2）立项依据。</w:t>
      </w:r>
      <w:r>
        <w:rPr>
          <w:rFonts w:hint="default" w:ascii="Times New Roman" w:hAnsi="Times New Roman" w:eastAsia="仿宋_GB2312" w:cs="Times New Roman"/>
          <w:sz w:val="32"/>
          <w:szCs w:val="32"/>
        </w:rPr>
        <w:t>根据《价格法》、《安徽省涉案财产估价管理条例》、国清[2000]3号文件和《价格认证中心工作管理办法》的要求。</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（3）实施主体。淮北市</w:t>
      </w:r>
      <w:r>
        <w:rPr>
          <w:rFonts w:hint="default" w:ascii="Times New Roman" w:hAnsi="Times New Roman" w:eastAsia="仿宋_GB2312" w:cs="Times New Roman"/>
          <w:kern w:val="0"/>
          <w:sz w:val="32"/>
          <w:szCs w:val="32"/>
          <w:lang w:val="en-US" w:eastAsia="zh-CN"/>
        </w:rPr>
        <w:t>价格认证中心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（4）起止时间。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-12月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（5）项目内容。</w:t>
      </w:r>
      <w:r>
        <w:rPr>
          <w:rFonts w:hint="default" w:ascii="Times New Roman" w:hAnsi="Times New Roman" w:eastAsia="仿宋_GB2312" w:cs="Times New Roman"/>
          <w:sz w:val="32"/>
          <w:szCs w:val="32"/>
        </w:rPr>
        <w:t>规范涉案财物鉴定行为，维护国家、公民、法人和其他组织的权益，保证司法和行政执法活动的正常进行。民事、行政、仲裁案件的价格鉴定、价格水平合理性认证 。</w:t>
      </w:r>
    </w:p>
    <w:p>
      <w:pPr>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（6）年度预算安排。</w:t>
      </w:r>
      <w:r>
        <w:rPr>
          <w:rFonts w:hint="default" w:ascii="Times New Roman" w:hAnsi="Times New Roman" w:eastAsia="仿宋_GB2312" w:cs="Times New Roman"/>
          <w:kern w:val="0"/>
          <w:sz w:val="32"/>
          <w:szCs w:val="32"/>
          <w:lang w:val="en-US" w:eastAsia="zh-CN"/>
        </w:rPr>
        <w:t>26.16万元</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（7）绩效目标。提供公共服务，维护公共利益，保障纪检监察、司法和行政工作的顺利进行。</w:t>
      </w:r>
    </w:p>
    <w:p>
      <w:pPr>
        <w:ind w:firstLine="640" w:firstLineChars="200"/>
        <w:jc w:val="center"/>
        <w:rPr>
          <w:rFonts w:hint="default" w:ascii="Times New Roman" w:hAnsi="Times New Roman" w:eastAsia="仿宋_GB2312" w:cs="Times New Roman"/>
          <w:b w:val="0"/>
          <w:bCs w:val="0"/>
          <w:kern w:val="0"/>
          <w:sz w:val="13"/>
          <w:szCs w:val="13"/>
          <w:lang w:val="en-US" w:eastAsia="zh-CN"/>
        </w:rPr>
      </w:pPr>
    </w:p>
    <w:p>
      <w:pPr>
        <w:ind w:firstLine="640" w:firstLineChars="200"/>
        <w:jc w:val="center"/>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项目支出绩效目标表见附件1-1-1</w:t>
      </w:r>
    </w:p>
    <w:p>
      <w:pPr>
        <w:adjustRightInd w:val="0"/>
        <w:snapToGrid w:val="0"/>
        <w:spacing w:line="580" w:lineRule="exact"/>
        <w:ind w:firstLine="643" w:firstLineChars="200"/>
        <w:rPr>
          <w:rFonts w:hint="default" w:ascii="Times New Roman" w:hAnsi="Times New Roman" w:eastAsia="仿宋_GB2312" w:cs="Times New Roman"/>
          <w:b/>
          <w:sz w:val="21"/>
          <w:szCs w:val="21"/>
        </w:rPr>
      </w:pP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（二）机关运行经费。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淮北市发展和改革委员会2025年机关运行经费财政拨款预算</w:t>
      </w:r>
      <w:r>
        <w:rPr>
          <w:rFonts w:hint="default" w:ascii="Times New Roman" w:hAnsi="Times New Roman" w:eastAsia="仿宋_GB2312" w:cs="Times New Roman"/>
          <w:kern w:val="0"/>
          <w:sz w:val="32"/>
          <w:szCs w:val="32"/>
          <w:lang w:val="en-US" w:eastAsia="zh-CN"/>
        </w:rPr>
        <w:t>260.08</w:t>
      </w:r>
      <w:r>
        <w:rPr>
          <w:rFonts w:hint="default" w:ascii="Times New Roman" w:hAnsi="Times New Roman" w:eastAsia="仿宋_GB2312" w:cs="Times New Roman"/>
          <w:kern w:val="0"/>
          <w:sz w:val="32"/>
          <w:szCs w:val="32"/>
        </w:rPr>
        <w:t>万元，比2024年预算增加</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万元，增长</w:t>
      </w:r>
      <w:r>
        <w:rPr>
          <w:rFonts w:hint="default" w:ascii="Times New Roman" w:hAnsi="Times New Roman" w:eastAsia="仿宋_GB2312" w:cs="Times New Roman"/>
          <w:kern w:val="0"/>
          <w:sz w:val="32"/>
          <w:szCs w:val="32"/>
          <w:lang w:val="en-US" w:eastAsia="zh-CN"/>
        </w:rPr>
        <w:t>0.81</w:t>
      </w:r>
      <w:r>
        <w:rPr>
          <w:rFonts w:hint="default" w:ascii="Times New Roman" w:hAnsi="Times New Roman" w:eastAsia="仿宋_GB2312" w:cs="Times New Roman"/>
          <w:kern w:val="0"/>
          <w:sz w:val="32"/>
          <w:szCs w:val="32"/>
        </w:rPr>
        <w:t>%，原因主要是</w:t>
      </w:r>
      <w:r>
        <w:rPr>
          <w:rFonts w:hint="default" w:ascii="Times New Roman" w:hAnsi="Times New Roman" w:eastAsia="仿宋_GB2312" w:cs="Times New Roman"/>
          <w:kern w:val="0"/>
          <w:sz w:val="32"/>
          <w:szCs w:val="32"/>
          <w:lang w:eastAsia="zh-CN"/>
        </w:rPr>
        <w:t>人员变化</w:t>
      </w:r>
      <w:r>
        <w:rPr>
          <w:rFonts w:hint="default" w:ascii="Times New Roman" w:hAnsi="Times New Roman" w:eastAsia="仿宋_GB2312" w:cs="Times New Roman"/>
          <w:kern w:val="0"/>
          <w:sz w:val="32"/>
          <w:szCs w:val="32"/>
        </w:rPr>
        <w:t>。</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（三）政府采购情况。</w:t>
      </w:r>
    </w:p>
    <w:p>
      <w:pPr>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b w:val="0"/>
          <w:bCs w:val="0"/>
          <w:kern w:val="0"/>
          <w:sz w:val="32"/>
          <w:szCs w:val="32"/>
        </w:rPr>
        <w:t>2025年政府采购预算</w:t>
      </w:r>
      <w:r>
        <w:rPr>
          <w:rFonts w:hint="default" w:ascii="Times New Roman" w:hAnsi="Times New Roman" w:eastAsia="仿宋_GB2312" w:cs="Times New Roman"/>
          <w:b w:val="0"/>
          <w:bCs w:val="0"/>
          <w:kern w:val="0"/>
          <w:sz w:val="32"/>
          <w:szCs w:val="32"/>
          <w:lang w:val="en-US" w:eastAsia="zh-CN"/>
        </w:rPr>
        <w:t>240</w:t>
      </w:r>
      <w:r>
        <w:rPr>
          <w:rFonts w:hint="default" w:ascii="Times New Roman" w:hAnsi="Times New Roman" w:eastAsia="仿宋_GB2312" w:cs="Times New Roman"/>
          <w:b w:val="0"/>
          <w:bCs w:val="0"/>
          <w:kern w:val="0"/>
          <w:sz w:val="32"/>
          <w:szCs w:val="32"/>
        </w:rPr>
        <w:t>万元。其中：政府采购货物预算</w:t>
      </w:r>
      <w:r>
        <w:rPr>
          <w:rFonts w:hint="default" w:ascii="Times New Roman" w:hAnsi="Times New Roman" w:eastAsia="仿宋_GB2312" w:cs="Times New Roman"/>
          <w:b w:val="0"/>
          <w:bCs w:val="0"/>
          <w:kern w:val="0"/>
          <w:sz w:val="32"/>
          <w:szCs w:val="32"/>
          <w:lang w:val="en-US" w:eastAsia="zh-CN"/>
        </w:rPr>
        <w:t>160</w:t>
      </w:r>
      <w:r>
        <w:rPr>
          <w:rFonts w:hint="default" w:ascii="Times New Roman" w:hAnsi="Times New Roman" w:eastAsia="仿宋_GB2312" w:cs="Times New Roman"/>
          <w:b w:val="0"/>
          <w:bCs w:val="0"/>
          <w:kern w:val="0"/>
          <w:sz w:val="32"/>
          <w:szCs w:val="32"/>
        </w:rPr>
        <w:t>万元，政府采购工程预算</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万元，政府采购服务预算</w:t>
      </w:r>
      <w:r>
        <w:rPr>
          <w:rFonts w:hint="default" w:ascii="Times New Roman" w:hAnsi="Times New Roman" w:eastAsia="仿宋_GB2312" w:cs="Times New Roman"/>
          <w:b w:val="0"/>
          <w:bCs w:val="0"/>
          <w:kern w:val="0"/>
          <w:sz w:val="32"/>
          <w:szCs w:val="32"/>
          <w:lang w:val="en-US" w:eastAsia="zh-CN"/>
        </w:rPr>
        <w:t>80</w:t>
      </w:r>
      <w:r>
        <w:rPr>
          <w:rFonts w:hint="default" w:ascii="Times New Roman" w:hAnsi="Times New Roman" w:eastAsia="仿宋_GB2312" w:cs="Times New Roman"/>
          <w:b w:val="0"/>
          <w:bCs w:val="0"/>
          <w:kern w:val="0"/>
          <w:sz w:val="32"/>
          <w:szCs w:val="32"/>
        </w:rPr>
        <w:t>万元。</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（四）国有资产占有使用情况。</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截至2024年12月31日，淮北市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b w:val="0"/>
          <w:bCs w:val="0"/>
          <w:kern w:val="0"/>
          <w:sz w:val="32"/>
          <w:szCs w:val="32"/>
        </w:rPr>
        <w:t>共有车辆</w:t>
      </w:r>
      <w:r>
        <w:rPr>
          <w:rFonts w:hint="default" w:ascii="Times New Roman" w:hAnsi="Times New Roman" w:eastAsia="仿宋_GB2312" w:cs="Times New Roman"/>
          <w:b w:val="0"/>
          <w:bCs w:val="0"/>
          <w:kern w:val="0"/>
          <w:sz w:val="32"/>
          <w:szCs w:val="32"/>
          <w:lang w:val="en-US" w:eastAsia="zh-CN"/>
        </w:rPr>
        <w:t>1</w:t>
      </w:r>
      <w:r>
        <w:rPr>
          <w:rFonts w:hint="default" w:ascii="Times New Roman" w:hAnsi="Times New Roman" w:eastAsia="仿宋_GB2312" w:cs="Times New Roman"/>
          <w:b w:val="0"/>
          <w:bCs w:val="0"/>
          <w:kern w:val="0"/>
          <w:sz w:val="32"/>
          <w:szCs w:val="32"/>
        </w:rPr>
        <w:t>辆，其中：</w:t>
      </w:r>
      <w:r>
        <w:rPr>
          <w:rFonts w:hint="default" w:ascii="Times New Roman" w:hAnsi="Times New Roman" w:eastAsia="仿宋_GB2312" w:cs="Times New Roman"/>
          <w:kern w:val="0"/>
          <w:sz w:val="32"/>
          <w:szCs w:val="32"/>
        </w:rPr>
        <w:t>其他用车</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台（套），单价100万元以上的专用设备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2025年部门预算安排购置公务用车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万元；安排购置单价50万元以上的通用设备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万元；安排购置单价100万元以上专用设备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（五）绩效目标设置情况。</w:t>
      </w:r>
    </w:p>
    <w:p>
      <w:pPr>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2025年，淮北市</w:t>
      </w:r>
      <w:r>
        <w:rPr>
          <w:rFonts w:hint="default" w:ascii="Times New Roman" w:hAnsi="Times New Roman" w:eastAsia="仿宋_GB2312" w:cs="Times New Roman"/>
          <w:kern w:val="0"/>
          <w:sz w:val="32"/>
          <w:szCs w:val="32"/>
        </w:rPr>
        <w:t>发展和改革委员会</w:t>
      </w:r>
      <w:r>
        <w:rPr>
          <w:rFonts w:hint="default" w:ascii="Times New Roman" w:hAnsi="Times New Roman" w:eastAsia="仿宋_GB2312" w:cs="Times New Roman"/>
          <w:b w:val="0"/>
          <w:bCs w:val="0"/>
          <w:kern w:val="0"/>
          <w:sz w:val="32"/>
          <w:szCs w:val="32"/>
          <w:lang w:val="en-US" w:eastAsia="zh-CN"/>
        </w:rPr>
        <w:t>16</w:t>
      </w:r>
      <w:r>
        <w:rPr>
          <w:rFonts w:hint="default" w:ascii="Times New Roman" w:hAnsi="Times New Roman" w:eastAsia="仿宋_GB2312" w:cs="Times New Roman"/>
          <w:b w:val="0"/>
          <w:bCs w:val="0"/>
          <w:kern w:val="0"/>
          <w:sz w:val="32"/>
          <w:szCs w:val="32"/>
        </w:rPr>
        <w:t>个项目实行了绩效目标管理，涉及一般公共预算当年财政拨款</w:t>
      </w:r>
      <w:r>
        <w:rPr>
          <w:rFonts w:hint="default" w:ascii="Times New Roman" w:hAnsi="Times New Roman" w:eastAsia="仿宋_GB2312" w:cs="Times New Roman"/>
          <w:b w:val="0"/>
          <w:bCs w:val="0"/>
          <w:kern w:val="0"/>
          <w:sz w:val="32"/>
          <w:szCs w:val="32"/>
          <w:lang w:val="en-US" w:eastAsia="zh-CN"/>
        </w:rPr>
        <w:t>10942.70</w:t>
      </w:r>
      <w:r>
        <w:rPr>
          <w:rFonts w:hint="default" w:ascii="Times New Roman" w:hAnsi="Times New Roman" w:eastAsia="仿宋_GB2312" w:cs="Times New Roman"/>
          <w:b w:val="0"/>
          <w:bCs w:val="0"/>
          <w:kern w:val="0"/>
          <w:sz w:val="32"/>
          <w:szCs w:val="32"/>
        </w:rPr>
        <w:t>万元、政府性基金预算当年财政拨款</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万元、财政专户管理资金当年安排</w:t>
      </w:r>
      <w:r>
        <w:rPr>
          <w:rFonts w:hint="default"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w:t>
      </w:r>
    </w:p>
    <w:p>
      <w:pPr>
        <w:pStyle w:val="6"/>
        <w:adjustRightInd w:val="0"/>
        <w:snapToGrid w:val="0"/>
        <w:spacing w:line="560" w:lineRule="exact"/>
        <w:jc w:val="both"/>
        <w:rPr>
          <w:rFonts w:hint="default" w:ascii="Times New Roman" w:hAnsi="Times New Roman" w:eastAsia="黑体" w:cs="Times New Roman"/>
          <w:b w:val="0"/>
          <w:bCs w:val="0"/>
          <w:sz w:val="36"/>
          <w:szCs w:val="36"/>
        </w:rPr>
      </w:pPr>
    </w:p>
    <w:p>
      <w:pPr>
        <w:pStyle w:val="6"/>
        <w:adjustRightInd w:val="0"/>
        <w:snapToGrid w:val="0"/>
        <w:spacing w:line="560" w:lineRule="exact"/>
        <w:jc w:val="center"/>
        <w:rPr>
          <w:rFonts w:hint="default" w:ascii="Times New Roman" w:hAnsi="Times New Roman" w:eastAsia="黑体" w:cs="Times New Roman"/>
          <w:bCs/>
          <w:sz w:val="36"/>
          <w:szCs w:val="36"/>
          <w:highlight w:val="yellow"/>
        </w:rPr>
      </w:pPr>
      <w:r>
        <w:rPr>
          <w:rFonts w:hint="default" w:ascii="Times New Roman" w:hAnsi="Times New Roman" w:eastAsia="黑体" w:cs="Times New Roman"/>
          <w:bCs/>
          <w:sz w:val="36"/>
          <w:szCs w:val="36"/>
          <w:highlight w:val="none"/>
        </w:rPr>
        <w:t>第四部分 名词解释</w:t>
      </w:r>
    </w:p>
    <w:p>
      <w:pPr>
        <w:rPr>
          <w:rFonts w:hint="default" w:ascii="Times New Roman" w:hAnsi="Times New Roman" w:cs="Times New Roman"/>
        </w:rPr>
      </w:pP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一、财政拨款收入：</w:t>
      </w:r>
      <w:r>
        <w:rPr>
          <w:rFonts w:hint="default" w:ascii="Times New Roman" w:hAnsi="Times New Roman" w:eastAsia="仿宋_GB2312" w:cs="Times New Roman"/>
          <w:sz w:val="32"/>
          <w:szCs w:val="32"/>
        </w:rPr>
        <w:t>指部门或单位从同级财政部门取得的财政预算资金。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二、事业收入：</w:t>
      </w:r>
      <w:r>
        <w:rPr>
          <w:rFonts w:hint="default" w:ascii="Times New Roman" w:hAnsi="Times New Roman" w:eastAsia="仿宋_GB2312" w:cs="Times New Roman"/>
          <w:sz w:val="32"/>
          <w:szCs w:val="32"/>
        </w:rPr>
        <w:t>指事业单位开展专业业务活动及辅助活动所取得的收入。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三、财政专户管理资金：</w:t>
      </w:r>
      <w:r>
        <w:rPr>
          <w:rFonts w:hint="default" w:ascii="Times New Roman" w:hAnsi="Times New Roman" w:eastAsia="仿宋_GB2312" w:cs="Times New Roman"/>
          <w:sz w:val="32"/>
          <w:szCs w:val="32"/>
        </w:rPr>
        <w:t>指按照非税收入管理相关规定，纳入财政专户管理的教育收费等。</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四、事业单位经营收入：</w:t>
      </w:r>
      <w:r>
        <w:rPr>
          <w:rFonts w:hint="default" w:ascii="Times New Roman" w:hAnsi="Times New Roman" w:eastAsia="仿宋_GB2312" w:cs="Times New Roman"/>
          <w:sz w:val="32"/>
          <w:szCs w:val="32"/>
        </w:rPr>
        <w:t>指事业单位在专业业务活动及其辅助活动之外开展非独立核算经营活动取得的收入。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五、附属单位上缴收入：</w:t>
      </w:r>
      <w:r>
        <w:rPr>
          <w:rFonts w:hint="default" w:ascii="Times New Roman" w:hAnsi="Times New Roman" w:eastAsia="仿宋_GB2312" w:cs="Times New Roman"/>
          <w:sz w:val="32"/>
          <w:szCs w:val="32"/>
        </w:rPr>
        <w:t>本单位所属下级单位上缴给本单位的全部收入。</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六、上年结转：</w:t>
      </w:r>
      <w:r>
        <w:rPr>
          <w:rFonts w:hint="default" w:ascii="Times New Roman" w:hAnsi="Times New Roman" w:eastAsia="仿宋_GB2312" w:cs="Times New Roman"/>
          <w:sz w:val="32"/>
          <w:szCs w:val="32"/>
        </w:rPr>
        <w:t>指以前年度安排、结转到本年仍按原用途继续使用的资金。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七、结转下年：</w:t>
      </w:r>
      <w:r>
        <w:rPr>
          <w:rFonts w:hint="default" w:ascii="Times New Roman" w:hAnsi="Times New Roman" w:eastAsia="仿宋_GB2312" w:cs="Times New Roman"/>
          <w:sz w:val="32"/>
          <w:szCs w:val="32"/>
        </w:rPr>
        <w:t>指以前年度预算安排、因客观条件发生变化无法按原计划实施，需以后年度按原用途继续使用的资金。</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八、基本支出：</w:t>
      </w:r>
      <w:r>
        <w:rPr>
          <w:rFonts w:hint="default" w:ascii="Times New Roman" w:hAnsi="Times New Roman" w:eastAsia="仿宋_GB2312" w:cs="Times New Roman"/>
          <w:sz w:val="32"/>
          <w:szCs w:val="32"/>
        </w:rPr>
        <w:t>指为保障机构正常运转、完成日常工作任务而发生的人员支出和公用支出。</w:t>
      </w:r>
    </w:p>
    <w:p>
      <w:pPr>
        <w:pStyle w:val="6"/>
        <w:adjustRightInd w:val="0"/>
        <w:snapToGrid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九、项目支出：</w:t>
      </w:r>
      <w:r>
        <w:rPr>
          <w:rFonts w:hint="default" w:ascii="Times New Roman" w:hAnsi="Times New Roman" w:eastAsia="仿宋_GB2312" w:cs="Times New Roman"/>
          <w:sz w:val="32"/>
          <w:szCs w:val="32"/>
        </w:rPr>
        <w:t>指在除基本支出之外的支出，主要用于完成特定的工作任务和事业发展目标。</w:t>
      </w:r>
    </w:p>
    <w:p>
      <w:pPr>
        <w:pStyle w:val="6"/>
        <w:adjustRightInd w:val="0"/>
        <w:snapToGrid w:val="0"/>
        <w:spacing w:line="560" w:lineRule="exact"/>
        <w:ind w:firstLine="630" w:firstLineChars="196"/>
      </w:pPr>
      <w:r>
        <w:rPr>
          <w:rFonts w:hint="default" w:ascii="Times New Roman" w:hAnsi="Times New Roman" w:eastAsia="仿宋_GB2312" w:cs="Times New Roman"/>
          <w:b/>
          <w:sz w:val="32"/>
          <w:szCs w:val="32"/>
        </w:rPr>
        <w:t xml:space="preserve">十、机关运行经费: </w:t>
      </w:r>
      <w:r>
        <w:rPr>
          <w:rFonts w:hint="default" w:ascii="Times New Roman" w:hAnsi="Times New 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NewRoman">
    <w:altName w:val="Arial Unicode MS"/>
    <w:panose1 w:val="00000000000000000000"/>
    <w:charset w:val="00"/>
    <w:family w:val="auto"/>
    <w:pitch w:val="default"/>
    <w:sig w:usb0="00000000" w:usb1="00000000" w:usb2="00000029" w:usb3="00000000" w:csb0="600001FF" w:csb1="FFFF0000"/>
  </w:font>
  <w:font w:name="黑体">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汉仪中秀体简">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13032D"/>
    <w:rsid w:val="00267E33"/>
    <w:rsid w:val="00322DE0"/>
    <w:rsid w:val="0039276B"/>
    <w:rsid w:val="004A4DC6"/>
    <w:rsid w:val="0057562B"/>
    <w:rsid w:val="005E4F29"/>
    <w:rsid w:val="006546AF"/>
    <w:rsid w:val="00726D96"/>
    <w:rsid w:val="00740B10"/>
    <w:rsid w:val="00854DE8"/>
    <w:rsid w:val="008F6D1A"/>
    <w:rsid w:val="009168AC"/>
    <w:rsid w:val="00976388"/>
    <w:rsid w:val="009A3CA3"/>
    <w:rsid w:val="009E5D12"/>
    <w:rsid w:val="00AE3242"/>
    <w:rsid w:val="00B964EC"/>
    <w:rsid w:val="00BD640A"/>
    <w:rsid w:val="00C24C4D"/>
    <w:rsid w:val="00DB2A5C"/>
    <w:rsid w:val="00E11C7F"/>
    <w:rsid w:val="00E907C4"/>
    <w:rsid w:val="00EC7755"/>
    <w:rsid w:val="00EF6A16"/>
    <w:rsid w:val="00F45ECB"/>
    <w:rsid w:val="00F974AD"/>
    <w:rsid w:val="0136718A"/>
    <w:rsid w:val="013F7A9A"/>
    <w:rsid w:val="018A0E13"/>
    <w:rsid w:val="01D63491"/>
    <w:rsid w:val="01F462C4"/>
    <w:rsid w:val="03074E87"/>
    <w:rsid w:val="033311CF"/>
    <w:rsid w:val="03F66D0E"/>
    <w:rsid w:val="03FD0897"/>
    <w:rsid w:val="04897582"/>
    <w:rsid w:val="049B749C"/>
    <w:rsid w:val="04EF7042"/>
    <w:rsid w:val="05110760"/>
    <w:rsid w:val="053F7FAA"/>
    <w:rsid w:val="058B2628"/>
    <w:rsid w:val="05937A34"/>
    <w:rsid w:val="059960BA"/>
    <w:rsid w:val="05B16FE4"/>
    <w:rsid w:val="05BD0878"/>
    <w:rsid w:val="0654690A"/>
    <w:rsid w:val="0685283F"/>
    <w:rsid w:val="06BF1720"/>
    <w:rsid w:val="075E7FA4"/>
    <w:rsid w:val="07CA2ED7"/>
    <w:rsid w:val="07F20818"/>
    <w:rsid w:val="08583A3F"/>
    <w:rsid w:val="08FD1FCF"/>
    <w:rsid w:val="090D69E6"/>
    <w:rsid w:val="095D7A6A"/>
    <w:rsid w:val="09B671FF"/>
    <w:rsid w:val="09F102DE"/>
    <w:rsid w:val="0A0E788E"/>
    <w:rsid w:val="0A542580"/>
    <w:rsid w:val="0A94336A"/>
    <w:rsid w:val="0AEC39F9"/>
    <w:rsid w:val="0AFD7516"/>
    <w:rsid w:val="0B27035A"/>
    <w:rsid w:val="0BB64746"/>
    <w:rsid w:val="0BF255C1"/>
    <w:rsid w:val="0C375F99"/>
    <w:rsid w:val="0C9308B1"/>
    <w:rsid w:val="0DF70178"/>
    <w:rsid w:val="0E7E7158"/>
    <w:rsid w:val="0E8457DE"/>
    <w:rsid w:val="0F2C4CF2"/>
    <w:rsid w:val="0FAF1A48"/>
    <w:rsid w:val="103A162C"/>
    <w:rsid w:val="11771034"/>
    <w:rsid w:val="11811943"/>
    <w:rsid w:val="11E670E9"/>
    <w:rsid w:val="12922A85"/>
    <w:rsid w:val="12C15B53"/>
    <w:rsid w:val="142A18A2"/>
    <w:rsid w:val="142D60AA"/>
    <w:rsid w:val="144E07DC"/>
    <w:rsid w:val="14B33D84"/>
    <w:rsid w:val="14FF5D93"/>
    <w:rsid w:val="153220D4"/>
    <w:rsid w:val="157463C1"/>
    <w:rsid w:val="164A2BA1"/>
    <w:rsid w:val="1677496A"/>
    <w:rsid w:val="167823EB"/>
    <w:rsid w:val="167A36F0"/>
    <w:rsid w:val="16833FFF"/>
    <w:rsid w:val="17CA6515"/>
    <w:rsid w:val="17EB6A4A"/>
    <w:rsid w:val="18DD095C"/>
    <w:rsid w:val="191D5EC2"/>
    <w:rsid w:val="19314B62"/>
    <w:rsid w:val="19443B83"/>
    <w:rsid w:val="19C41B53"/>
    <w:rsid w:val="19EA1D92"/>
    <w:rsid w:val="1AC8397F"/>
    <w:rsid w:val="1B0921EA"/>
    <w:rsid w:val="1BA70DEF"/>
    <w:rsid w:val="1BCB22A8"/>
    <w:rsid w:val="1C752741"/>
    <w:rsid w:val="1C7E55CF"/>
    <w:rsid w:val="1D7E5172"/>
    <w:rsid w:val="1DA03128"/>
    <w:rsid w:val="1DA453B1"/>
    <w:rsid w:val="1DC0365D"/>
    <w:rsid w:val="1DFA253D"/>
    <w:rsid w:val="1E3958A5"/>
    <w:rsid w:val="1F412854"/>
    <w:rsid w:val="1F5514F4"/>
    <w:rsid w:val="20A90B21"/>
    <w:rsid w:val="21290176"/>
    <w:rsid w:val="216721D9"/>
    <w:rsid w:val="22077B64"/>
    <w:rsid w:val="22185880"/>
    <w:rsid w:val="232721BA"/>
    <w:rsid w:val="23B52D23"/>
    <w:rsid w:val="23C358BC"/>
    <w:rsid w:val="24B351C4"/>
    <w:rsid w:val="25223279"/>
    <w:rsid w:val="25C27580"/>
    <w:rsid w:val="26257624"/>
    <w:rsid w:val="264D4F65"/>
    <w:rsid w:val="2684763E"/>
    <w:rsid w:val="26862B41"/>
    <w:rsid w:val="26DB38D0"/>
    <w:rsid w:val="270A0B9B"/>
    <w:rsid w:val="270B661D"/>
    <w:rsid w:val="27172430"/>
    <w:rsid w:val="271A0E36"/>
    <w:rsid w:val="27372964"/>
    <w:rsid w:val="27520F90"/>
    <w:rsid w:val="2764472D"/>
    <w:rsid w:val="281D195D"/>
    <w:rsid w:val="28D07202"/>
    <w:rsid w:val="2A1E4926"/>
    <w:rsid w:val="2A3B1CD8"/>
    <w:rsid w:val="2AAE6793"/>
    <w:rsid w:val="2B991C14"/>
    <w:rsid w:val="2BA56D2B"/>
    <w:rsid w:val="2BA87CB0"/>
    <w:rsid w:val="2BB36041"/>
    <w:rsid w:val="2C2C2488"/>
    <w:rsid w:val="2C4320AD"/>
    <w:rsid w:val="2CCD678E"/>
    <w:rsid w:val="2D5A1875"/>
    <w:rsid w:val="2D5E607D"/>
    <w:rsid w:val="2DB5450D"/>
    <w:rsid w:val="2E807459"/>
    <w:rsid w:val="2ED21461"/>
    <w:rsid w:val="2EE54BFF"/>
    <w:rsid w:val="2F107C41"/>
    <w:rsid w:val="300C7EE4"/>
    <w:rsid w:val="30355826"/>
    <w:rsid w:val="303A1CAD"/>
    <w:rsid w:val="30DD6F38"/>
    <w:rsid w:val="30E07EBD"/>
    <w:rsid w:val="314743E9"/>
    <w:rsid w:val="315F400E"/>
    <w:rsid w:val="317C35BE"/>
    <w:rsid w:val="32CA6862"/>
    <w:rsid w:val="32EA3795"/>
    <w:rsid w:val="33A928CE"/>
    <w:rsid w:val="34A80273"/>
    <w:rsid w:val="34B13101"/>
    <w:rsid w:val="34C42121"/>
    <w:rsid w:val="34C865A9"/>
    <w:rsid w:val="351D0231"/>
    <w:rsid w:val="357E6FD1"/>
    <w:rsid w:val="360714B4"/>
    <w:rsid w:val="36306DF5"/>
    <w:rsid w:val="36E13395"/>
    <w:rsid w:val="371812F1"/>
    <w:rsid w:val="371C5779"/>
    <w:rsid w:val="39343C61"/>
    <w:rsid w:val="396543B9"/>
    <w:rsid w:val="3A2C2AFD"/>
    <w:rsid w:val="3A6E266D"/>
    <w:rsid w:val="3AA2053D"/>
    <w:rsid w:val="3ADF03A2"/>
    <w:rsid w:val="3B4535CA"/>
    <w:rsid w:val="3C061489"/>
    <w:rsid w:val="3C6D2133"/>
    <w:rsid w:val="3D3C5C83"/>
    <w:rsid w:val="3DC96B6C"/>
    <w:rsid w:val="3DE06791"/>
    <w:rsid w:val="3DFF1244"/>
    <w:rsid w:val="3EFE1167"/>
    <w:rsid w:val="3F4C3465"/>
    <w:rsid w:val="3F8D5553"/>
    <w:rsid w:val="406E00C4"/>
    <w:rsid w:val="40D91972"/>
    <w:rsid w:val="40F97CA8"/>
    <w:rsid w:val="40FB31AB"/>
    <w:rsid w:val="420A3368"/>
    <w:rsid w:val="4237620D"/>
    <w:rsid w:val="4359650D"/>
    <w:rsid w:val="439B27FA"/>
    <w:rsid w:val="43FF6C9B"/>
    <w:rsid w:val="44050BA5"/>
    <w:rsid w:val="44F3082D"/>
    <w:rsid w:val="45996A3C"/>
    <w:rsid w:val="46B61793"/>
    <w:rsid w:val="47380A67"/>
    <w:rsid w:val="4764152B"/>
    <w:rsid w:val="48185B57"/>
    <w:rsid w:val="490D18E7"/>
    <w:rsid w:val="49302DA0"/>
    <w:rsid w:val="499A49CE"/>
    <w:rsid w:val="49E22BC4"/>
    <w:rsid w:val="49E43B49"/>
    <w:rsid w:val="49F266E1"/>
    <w:rsid w:val="49FC6FF1"/>
    <w:rsid w:val="4A2139AD"/>
    <w:rsid w:val="4A4E3578"/>
    <w:rsid w:val="4A7E62C5"/>
    <w:rsid w:val="4ACD3AC6"/>
    <w:rsid w:val="4AF57209"/>
    <w:rsid w:val="4AF61407"/>
    <w:rsid w:val="4B5814AC"/>
    <w:rsid w:val="4BBB5CCD"/>
    <w:rsid w:val="4BBD11D0"/>
    <w:rsid w:val="4BE87A96"/>
    <w:rsid w:val="4CF27F48"/>
    <w:rsid w:val="4D185C09"/>
    <w:rsid w:val="4D8F494F"/>
    <w:rsid w:val="4E391564"/>
    <w:rsid w:val="4E574397"/>
    <w:rsid w:val="4E657E2A"/>
    <w:rsid w:val="4E937674"/>
    <w:rsid w:val="4EC549CB"/>
    <w:rsid w:val="4F0679B3"/>
    <w:rsid w:val="4F136CC9"/>
    <w:rsid w:val="4F78446F"/>
    <w:rsid w:val="4F787CF2"/>
    <w:rsid w:val="4FBA075B"/>
    <w:rsid w:val="50113369"/>
    <w:rsid w:val="505B02E5"/>
    <w:rsid w:val="506E5C81"/>
    <w:rsid w:val="50EE52D5"/>
    <w:rsid w:val="513037C0"/>
    <w:rsid w:val="51914ADE"/>
    <w:rsid w:val="51974469"/>
    <w:rsid w:val="52582329"/>
    <w:rsid w:val="528256EC"/>
    <w:rsid w:val="528D14FE"/>
    <w:rsid w:val="52AA68B0"/>
    <w:rsid w:val="52EA3E16"/>
    <w:rsid w:val="52F23421"/>
    <w:rsid w:val="54735E9C"/>
    <w:rsid w:val="54AE27FD"/>
    <w:rsid w:val="55245CBF"/>
    <w:rsid w:val="55F27611"/>
    <w:rsid w:val="563170F6"/>
    <w:rsid w:val="56563AB2"/>
    <w:rsid w:val="56A02C2D"/>
    <w:rsid w:val="573213A1"/>
    <w:rsid w:val="57717B9F"/>
    <w:rsid w:val="57882F2B"/>
    <w:rsid w:val="578B3EAF"/>
    <w:rsid w:val="57B0086C"/>
    <w:rsid w:val="585338F8"/>
    <w:rsid w:val="585E3E88"/>
    <w:rsid w:val="58BE7724"/>
    <w:rsid w:val="58CB483C"/>
    <w:rsid w:val="590D65AA"/>
    <w:rsid w:val="59762756"/>
    <w:rsid w:val="5A081CC5"/>
    <w:rsid w:val="5A20736C"/>
    <w:rsid w:val="5A5D394D"/>
    <w:rsid w:val="5ABA1AE9"/>
    <w:rsid w:val="5B8C403F"/>
    <w:rsid w:val="5BC709A1"/>
    <w:rsid w:val="5BF062E2"/>
    <w:rsid w:val="5C433B6E"/>
    <w:rsid w:val="5C4A34F9"/>
    <w:rsid w:val="5C6340A3"/>
    <w:rsid w:val="5CA16106"/>
    <w:rsid w:val="5D4A309B"/>
    <w:rsid w:val="5D54142D"/>
    <w:rsid w:val="5D620742"/>
    <w:rsid w:val="5E122AE4"/>
    <w:rsid w:val="5EA0144F"/>
    <w:rsid w:val="60510E15"/>
    <w:rsid w:val="61457124"/>
    <w:rsid w:val="62107AF1"/>
    <w:rsid w:val="62762D19"/>
    <w:rsid w:val="62793C9D"/>
    <w:rsid w:val="63095B0B"/>
    <w:rsid w:val="636F0D32"/>
    <w:rsid w:val="63B2141C"/>
    <w:rsid w:val="63EC02FC"/>
    <w:rsid w:val="640C6632"/>
    <w:rsid w:val="65490238"/>
    <w:rsid w:val="664D45E3"/>
    <w:rsid w:val="6695025A"/>
    <w:rsid w:val="66C258A6"/>
    <w:rsid w:val="673F2C72"/>
    <w:rsid w:val="679C300B"/>
    <w:rsid w:val="680571B7"/>
    <w:rsid w:val="687142E8"/>
    <w:rsid w:val="687B4BF8"/>
    <w:rsid w:val="68A128B9"/>
    <w:rsid w:val="68DA0494"/>
    <w:rsid w:val="69852B2B"/>
    <w:rsid w:val="6A254C33"/>
    <w:rsid w:val="6A6B1B24"/>
    <w:rsid w:val="6BD51213"/>
    <w:rsid w:val="6BE2620E"/>
    <w:rsid w:val="6BEC0D1C"/>
    <w:rsid w:val="6BFE7D3C"/>
    <w:rsid w:val="6C072BCA"/>
    <w:rsid w:val="6C14665D"/>
    <w:rsid w:val="6D167504"/>
    <w:rsid w:val="6D1D2712"/>
    <w:rsid w:val="6D282CA2"/>
    <w:rsid w:val="6D3C51C6"/>
    <w:rsid w:val="6D4425D2"/>
    <w:rsid w:val="6DF8337A"/>
    <w:rsid w:val="6E04718D"/>
    <w:rsid w:val="6E460EFB"/>
    <w:rsid w:val="6EBB0EBA"/>
    <w:rsid w:val="6F0F0944"/>
    <w:rsid w:val="6F483FA1"/>
    <w:rsid w:val="712D2EBD"/>
    <w:rsid w:val="7185354B"/>
    <w:rsid w:val="71DB64D8"/>
    <w:rsid w:val="724A458E"/>
    <w:rsid w:val="72946F8C"/>
    <w:rsid w:val="73861D97"/>
    <w:rsid w:val="75091F13"/>
    <w:rsid w:val="75F21E91"/>
    <w:rsid w:val="76905212"/>
    <w:rsid w:val="76A032AE"/>
    <w:rsid w:val="771D60FB"/>
    <w:rsid w:val="77B030EB"/>
    <w:rsid w:val="77DE0738"/>
    <w:rsid w:val="79C14150"/>
    <w:rsid w:val="7AA9664C"/>
    <w:rsid w:val="7AF122C4"/>
    <w:rsid w:val="7B6D768F"/>
    <w:rsid w:val="7BEA6C58"/>
    <w:rsid w:val="7C2D09C7"/>
    <w:rsid w:val="7E8C722C"/>
    <w:rsid w:val="7F831D43"/>
    <w:rsid w:val="7FC527A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5" w:lineRule="auto"/>
      <w:outlineLvl w:val="1"/>
    </w:pPr>
    <w:rPr>
      <w:rFonts w:ascii="Arial" w:hAnsi="Arial" w:eastAsia="黑体"/>
      <w:b/>
      <w:sz w:val="32"/>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2"/>
    <w:basedOn w:val="1"/>
    <w:next w:val="1"/>
    <w:unhideWhenUsed/>
    <w:qFormat/>
    <w:uiPriority w:val="99"/>
    <w:pPr>
      <w:ind w:firstLine="200" w:firstLineChars="200"/>
    </w:pPr>
    <w:rPr>
      <w:sz w:val="32"/>
      <w:szCs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983</Words>
  <Characters>5608</Characters>
  <Lines>46</Lines>
  <Paragraphs>13</Paragraphs>
  <ScaleCrop>false</ScaleCrop>
  <LinksUpToDate>false</LinksUpToDate>
  <CharactersWithSpaces>6578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高畅</cp:lastModifiedBy>
  <dcterms:modified xsi:type="dcterms:W3CDTF">2025-02-11T08:37:38Z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