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Pr/>
    </w:p>
    <w:p>
      <w:pPr/>
    </w:p>
    <w:p>
      <w:pPr/>
    </w:p>
    <w:p>
      <w:pPr/>
    </w:p>
    <w:p>
      <w:pPr/>
    </w:p>
    <w:p>
      <w:pPr/>
    </w:p>
    <w:p>
      <w:pPr/>
    </w:p>
    <w:p>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淮北市</w:t>
      </w:r>
      <w:r>
        <w:rPr>
          <w:rFonts w:hint="eastAsia" w:ascii="方正小标宋简体" w:hAnsi="方正小标宋简体" w:eastAsia="方正小标宋简体" w:cs="方正小标宋简体"/>
          <w:b w:val="0"/>
          <w:bCs/>
          <w:sz w:val="44"/>
          <w:szCs w:val="44"/>
          <w:lang w:eastAsia="zh-CN"/>
        </w:rPr>
        <w:t>发展和改革委员会</w:t>
      </w:r>
    </w:p>
    <w:p>
      <w:pPr>
        <w:spacing w:line="560" w:lineRule="exact"/>
        <w:jc w:val="center"/>
        <w:rPr>
          <w:rFonts w:ascii="TimesNewRoman" w:hAnsi="TimesNewRoman" w:eastAsia="华文中宋" w:cs="TimesNewRoman"/>
          <w:b/>
          <w:sz w:val="44"/>
          <w:szCs w:val="44"/>
        </w:rPr>
      </w:pPr>
      <w:r>
        <w:rPr>
          <w:rFonts w:hint="eastAsia" w:ascii="方正小标宋简体" w:hAnsi="方正小标宋简体" w:eastAsia="方正小标宋简体" w:cs="方正小标宋简体"/>
          <w:b w:val="0"/>
          <w:bCs/>
          <w:sz w:val="44"/>
          <w:szCs w:val="44"/>
          <w:lang w:eastAsia="zh-CN"/>
        </w:rPr>
        <w:t>本级</w:t>
      </w:r>
      <w:r>
        <w:rPr>
          <w:rFonts w:hint="eastAsia" w:ascii="方正小标宋简体" w:hAnsi="方正小标宋简体" w:eastAsia="方正小标宋简体" w:cs="方正小标宋简体"/>
          <w:b w:val="0"/>
          <w:bCs/>
          <w:sz w:val="44"/>
          <w:szCs w:val="44"/>
        </w:rPr>
        <w:t>2025年</w:t>
      </w:r>
      <w:r>
        <w:rPr>
          <w:rFonts w:hint="eastAsia" w:ascii="方正小标宋简体" w:hAnsi="方正小标宋简体" w:eastAsia="方正小标宋简体" w:cs="方正小标宋简体"/>
          <w:b w:val="0"/>
          <w:bCs/>
          <w:sz w:val="44"/>
          <w:szCs w:val="44"/>
          <w:lang w:eastAsia="zh-CN"/>
        </w:rPr>
        <w:t>单位</w:t>
      </w:r>
      <w:r>
        <w:rPr>
          <w:rFonts w:hint="eastAsia" w:ascii="方正小标宋简体" w:hAnsi="方正小标宋简体" w:eastAsia="方正小标宋简体" w:cs="方正小标宋简体"/>
          <w:b w:val="0"/>
          <w:bCs/>
          <w:sz w:val="44"/>
          <w:szCs w:val="44"/>
        </w:rPr>
        <w:t>预算</w:t>
      </w:r>
    </w:p>
    <w:p>
      <w:pPr/>
    </w:p>
    <w:p>
      <w:pPr/>
    </w:p>
    <w:p>
      <w:pPr/>
    </w:p>
    <w:p>
      <w:pPr/>
    </w:p>
    <w:p>
      <w:pPr/>
    </w:p>
    <w:p>
      <w:pPr/>
    </w:p>
    <w:p>
      <w:pPr/>
    </w:p>
    <w:p>
      <w:pPr/>
    </w:p>
    <w:p>
      <w:pPr/>
    </w:p>
    <w:p>
      <w:pPr/>
    </w:p>
    <w:p>
      <w:pPr/>
    </w:p>
    <w:p>
      <w:pPr/>
    </w:p>
    <w:p>
      <w:pPr/>
    </w:p>
    <w:p>
      <w:pPr/>
    </w:p>
    <w:p>
      <w:pPr/>
    </w:p>
    <w:p>
      <w:pPr/>
    </w:p>
    <w:p>
      <w:pPr/>
    </w:p>
    <w:p>
      <w:pPr/>
    </w:p>
    <w:p>
      <w:pPr/>
    </w:p>
    <w:p>
      <w:pPr/>
    </w:p>
    <w:p>
      <w:pPr/>
    </w:p>
    <w:p>
      <w:pPr/>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Pr/>
    </w:p>
    <w:p>
      <w:pPr>
        <w:pStyle w:val="6"/>
        <w:adjustRightInd w:val="0"/>
        <w:snapToGrid w:val="0"/>
        <w:spacing w:line="560" w:lineRule="exact"/>
        <w:jc w:val="both"/>
        <w:rPr>
          <w:rFonts w:hint="eastAsia"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第一部分 </w:t>
      </w:r>
      <w:r>
        <w:rPr>
          <w:rFonts w:hint="eastAsia"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概况</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预算构成</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2025年度主要工作任务</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2025年</w:t>
      </w:r>
      <w:r>
        <w:rPr>
          <w:rFonts w:hint="eastAsia" w:ascii="Times New Roman" w:hAnsi="Times New Roman" w:eastAsia="仿宋_GB2312" w:cs="Times New Roman"/>
          <w:b/>
          <w:sz w:val="32"/>
          <w:szCs w:val="32"/>
          <w:lang w:eastAsia="zh-CN"/>
        </w:rPr>
        <w:t>单位</w:t>
      </w:r>
      <w:r>
        <w:rPr>
          <w:rFonts w:hint="default" w:ascii="Times New Roman" w:hAnsi="Times New Roman" w:eastAsia="仿宋_GB2312" w:cs="Times New Roman"/>
          <w:b/>
          <w:sz w:val="32"/>
          <w:szCs w:val="32"/>
        </w:rPr>
        <w:t>预算表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2025年收入总表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2025年支出总表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2025年财政拨款收支总表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2025年一般公共预算基本支出表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2025年政府性基金预算支出表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2025年国有资本经营预算支出表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2025年项目支出表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2025年政府采购支出表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2025年政府购买服务支出表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2025年通用资产配置支出表</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2025年单位预算情况说明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预算纳入绩效考评项目表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w:t>
      </w:r>
      <w:r>
        <w:rPr>
          <w:rFonts w:hint="eastAsia" w:ascii="Times New Roman" w:hAnsi="Times New Roman" w:eastAsia="仿宋_GB2312" w:cs="Times New Roman"/>
          <w:bCs/>
          <w:sz w:val="32"/>
          <w:szCs w:val="32"/>
          <w:lang w:eastAsia="zh-CN"/>
        </w:rPr>
        <w:t>单位</w:t>
      </w:r>
      <w:r>
        <w:rPr>
          <w:rFonts w:hint="default" w:ascii="Times New Roman" w:hAnsi="Times New Roman" w:eastAsia="仿宋_GB2312" w:cs="Times New Roman"/>
          <w:bCs/>
          <w:sz w:val="32"/>
          <w:szCs w:val="32"/>
        </w:rPr>
        <w:t>预算专项资金管理清单（专栏公开）</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第一部分 </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概况</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highlight w:val="yellow"/>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highlight w:val="none"/>
        </w:rPr>
        <w:t>、主要职责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sz w:val="32"/>
          <w:szCs w:val="32"/>
        </w:rPr>
        <w:t>根据《中共安徽省委办公厅、安徽省人民政府办公厅关于印发〈淮北市机构改革方案〉的通知》（厅〔2019〕2号）和《中共淮北市委、淮北市人民政府关于市级机构改革的实施意见》（淮发〔2019〕2号）文件规定，</w:t>
      </w:r>
      <w:r>
        <w:rPr>
          <w:rFonts w:hint="default" w:ascii="Times New Roman" w:hAnsi="Times New Roman" w:eastAsia="仿宋_GB2312" w:cs="Times New Roman"/>
          <w:sz w:val="32"/>
          <w:szCs w:val="32"/>
          <w:lang w:eastAsia="zh-CN"/>
        </w:rPr>
        <w:t>淮北市发展和改革委员会</w:t>
      </w:r>
      <w:r>
        <w:rPr>
          <w:rFonts w:hint="default" w:ascii="Times New Roman" w:hAnsi="Times New Roman" w:eastAsia="仿宋_GB2312" w:cs="Times New Roman"/>
          <w:sz w:val="32"/>
          <w:szCs w:val="32"/>
        </w:rPr>
        <w:t>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（一）拟订并组织实施全市国民经济和社会发展战略、中长期规划和年度计划。牵头组织统一规划体系建设。负责市级专项规划、区域规划、空间规划和全市发展规划的统筹衔接。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（二）贯彻执行国民经济和社会发展、经济体制改革和对外开放的有关法律法规规章，起草有关地方性法规规章草案。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（三）提出全市加快建设现代化经济体系、推动高质量发展的目标、任务以及相关政策。贯彻落实重大战略规划、重大政策、重大工程等评估督导制度，提出相关调整建议。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四）统筹提出全市国民经济和社会发展主要目标，监测预测预警宏观经济和社会发展态势趋势，提出宏观调控政策建议。综合协调宏观经济政策，牵头研究宏观经济应对措施。研究经济运行中的重要问题并提出政策建议。参与拟订财政政策、金融政策和土地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五）指导推进和综合协调经济体制改革有关工作，提出相关改革建议。承担推进供给侧结构性改革有关工作。协调推进产权制度和要素市场化配置改革。推动完善相关经济制度和现代市场体系建设，会同相关部门组织实施市场准入负面清单制度。承担推进优化营商环境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（六）提出利用外资和境外投资的战略、规划、总量平衡和结构优化政策。落实“一带一路”建设相关工作。会同有关部门组织实施外商投资准入负面清单。承担外债管理有关工作。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七）负责投资综合管理，拟订全社会固定资产投资总规模、结构调控目标和政策，会同相关部门拟订政府投资项目审批权限和政府核准的固定资产投资项目目录。组织编制财政预算内固定资产年度投资计划，安排有关财政性建设资金，按规定权限审批、核准、审核重大项目。规划重大建设项目和生产力布局。拟订并推动落实鼓励民间投资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八）推进落实区域协调发展战略、新型城镇化战略和重大政策，组织拟订相关区域规划和政策。贯彻实施长江三角洲区域一体化发展、长江经济带发展等国家重大区域发展战略。承担以工代赈相关工作。统筹协调区域合作和对口支援工作。组织编制并推动实施新型城镇化规划。指导县域经济发展有关工作。按规定负责开发区的有关工作。承担引江济淮工程相关工作。执行水库移民安置有关政策，编制移民后期扶持规划并组织实施。负责水库移民后期扶持资金的落实、后期扶持项目的初审转报和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组织拟订综合性产业政策。协调一二三产业发展重大问题并统筹衔接相关发展规划和重大政策。协调推进重大基础设施建设发展，组织拟订并推动实施服务业战略规划和重大政策。综合研判消费变动趋势，拟订实施促进消费的综合性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推动实施创新驱动发展战略。会同相关部门拟订推进创新创业的规划和政策，提出创新发展和培育经济发展新动能的政策。会同相关部门规划布局重大科技基础设施。组织拟订并推动实施高技术产业和战略性新兴产业发展规划政策，做好重大技术装备攻关工程，协调产业升级、重大技术装备推广应用等方面的重大问题。对接合肥综合性国家科学中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一）跟踪研判涉及经济安全等风险隐患，提出相关工作建议。按规定承担重点领域国家安全工作协调机制相关工作。负责重要商品总量平衡和宏观调控，提出重要工业品、原材料和重要农产品进出口调控意见并协调落实。会同有关部门拟订全市储备物资品种目录、总体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二）负责社会发展与国民经济发展的政策衔接，协调有关重大问题。组织拟订社会发展战略、总体规划，统筹推进基本公共服务体系建设和收入分配制度改革，提出促进就业、完善社会保障与经济协调发展的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三）牵头开展社会信用体系建设，贯彻实施国家有关社会信用体系建设的法律法规，组织编制全市社会信用体系建设规划纲要。研究制订全市信用体系建设的规章、标准和政策措施。组织实施信用产品的市场培育和应用推广工作。承担信用信息咨询服务工作。开展信用体系建设宣传教育。指导县区和行业社会信用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四）推进实施可持续发展战略，推动生态文明建设和改革，协调生态环境保护与修复、能源资源节约和综合利用等工作。提出健全生态保护补偿机制的政策措施，综合协调环保产业和清洁生产促进有关工作。提出全市能源消费控制目标、任务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五）贯彻执行国家和省有关重要商品、服务和要素价格改革政策，落实国家和省有关价格、收费相关法规和政策，制定和调整市级管理的政府指导价、政府定价的商品和服务价格（收费）标准。依法实施价格听证价格公告制度。负责行政事业性收费管理及重要的公益性、公用事业价格（收费）管理，依法实施行政事业性收费统计报告制度。负责全市价格成本调查和成本监审工作。负责全市价格认定工作的指导、协调和监督管理。负责全市价格争议调解处理工作。承担市场价格监测预警预报和价格信息服务等工作。负责提出价格调控目标和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六）负责编制重点项目储备库。负责拟定全市重点项目投资计划，协调督查重大项目建设。负责编报省亿元以上重点项目。落实铁路项目的规划建设等各项工作。统筹协调我市铁路项目的可研、初步设计等前期工作的报批。协调铁路建设单位与地方各部门的关系，保障我市境内铁路建设项目顺利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七）贯彻执行国家粮食流通和物资储备管理的法律法规规章和标准规范等。起草相关地方性法规草案，拟订相关地方标准和技术规范并组织实施。负责粮食流通行业管理，制定行业发展规划、政策，负责协调推进粮食产业发展有关工作。根据储备总体发展规划，统一负责全市储备基础设施建设和管理。拟订全市储备基础设施、粮食流通设施建设规划并组织实施，管理有关储备基础设施和粮食流通设施市级投资项目。负责全市粮食流通、加工行业安全生产工作的监督管理，承担市级物资储备承储单位安全生产的监管责任。负责对管理的政府储备、企业储备以及储备政策落实情况进行监督检查。负责粮食流通监督检查，负责粮食收购、储存、运输环节粮食质量安全和原粮卫生的监督管理。组织实施全市粮食库存检查工作。负责粮食和物资储备的对外合作与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八）组织编制全市重要物资储备规划和储备品种目录标准。根据储备总体发展规划和品种目录，组织实施全市重要物资和应急储备物资的收储、轮换和日常管理，落实有关动用计划和指令。管理粮食、棉花和食糖储备，负责市级储备粮棉行政管理。监测全市粮食和重要物资供求变化并预测预警，承担全市粮食流通总量平衡的具体工作。指导协调国家政策性粮食购销工作，建立跨地区粮食购销关系，协调产销区粮食余缺调剂。承担粮食安全省长责任制考核的具体工作。研究提出全市粮食流通和物资储备体制改革方案并组织实施。对市属国有粮食企业加强国有资产运营监管，履行国有粮食企业出资人职责。负责拟订有关粮食和物资储备财务管理、资产管理、审计监督等制度、办法并监督其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九）贯彻执行国家能源发展战略、规划、产业政策和法律法规规章，起草相关地方性法规草案。提出全市能源发展战略的建议，拟订能源发展规划和产业政策，推进能源体制改革，研究和协调能源发展和改革中的重大问题。组织实施煤炭、电力、石油、天然气、新能源和可再生能源等能源，以及炼油、煤制燃料和燃料乙醇的相关标准。按规定权限审批、核准、备案、审核能源固定资产投资项目。指导协调农村能源发展工作。负责能源行业节能和资源综合利用，参与研究全市能源消费总量控制目标建议，指导、监督能源消费总量控制有关工作。负责电力工业管理，承担电力生产安全管理有关工作。承担电力设施和电能保护的监督管理工作。依法主管全市石油、长输天然气管道保护工作。组织开展能源区域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（二十）完成市委、市政府交办的其他任务。</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单位</w:t>
      </w:r>
      <w:r>
        <w:rPr>
          <w:rFonts w:hint="default" w:ascii="Times New Roman" w:hAnsi="Times New Roman" w:eastAsia="黑体" w:cs="Times New Roman"/>
          <w:bCs/>
          <w:sz w:val="32"/>
          <w:szCs w:val="32"/>
        </w:rPr>
        <w:t>预算构成</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sz w:val="32"/>
          <w:szCs w:val="32"/>
        </w:rPr>
        <w:t>2025年度</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预算仅包括委本级预算，无其他下属单位预算。</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highlight w:val="none"/>
        </w:rPr>
        <w:t>2025年度主要工作任务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聚焦经济运行稳增长。持续巩固经济回升向好势头，咬定年度目标任务不放松，常态化开展形势分析研究，着力稳增长、稳预期。加强经济运行调度。深入落实经济运行、重点项目、开发区、服务业、“四上”企业等调度机制，高频开展经济形势监测分析。发挥经济运行工作专班作用，每月定期对全市主要经济指标和支撑性指标进行会商研判、查缺补漏，努力实现全年经济社会发展目标任务。落实“四上”企业培育工作联席会议制度，实施季度点评和年度考核，推动企业梯次成长。加强县区（园区）、镇（街道）经济运行分析调度，对存在薄弱环节的督促制定整改举措、补齐发展短板。切实抓好省考指标。聚焦市发改委承担的省考核指标逐项研判分析，分类施策，精准突破。针对单位GDP能耗降低率（非化石能源占能源消耗总量比重）等排名靠前的指标，继续保持和优化，确保持续领先。针对高技术产业发展等排名居中的指标，积极争取实现进位。针对GDP、民间投资等排名靠后的指标，逐个攻坚，尽快脱离后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聚焦项目建设增后劲。树牢“项目为王”理念，做好项目“增量、扩容、提质”文章，更好发挥重大项目带动作用，持续扩大有效益的投资。狠抓项目谋划。围绕中央预算内投资、超长期特别国债、“两重”“两新”、皖北潜力地区城镇化水平提升行动等政策支持方向，立足淮北资源禀赋、产业基础和区位条件，在科技攻关、产业升级、节能降碳、民生保障、新型基建、交通水利等领域，运用市场化思维，精选储备一批利当前、管长远的大项目、好项目。分类建立项目库，提高项目申报通过率，争取更多项目纳入国家“盘子”。编制印发2025年市本级政府性投资计划和全市重点项目投资计划。狠抓服务保障。健全闭环工作机制，强化服务意识，抓好要素保障，发挥重大项目要素保障工作专班作用，做好重大项目要素保障，做实项目前期工作，坚持“项目跟着规划走、资金和要素跟着项目走”，严格按照申报的建设内容和时限，及时破解项目建设中遇到的问题，推动项目早开工、早建设、早达效。狠抓项目调度。完善市领导统筹调度、行业主管部门协调调度、项目责任单位日常调度的分层分级常态化调度机制，深入开展“红黄绿”三灯预警，实行“一项目一策”现场协调服务，聚集重点领域、重点行业，加快项目建设进度，努力完成更多实物量。加快推进国安电厂二期、淮宿蚌、淮阜城际铁路、徐淮阜高速公路、西站片区基础设施等亿元以上在建项目建设，推动奇瑞新能源、国轩新能源、高铁西站站前基础设施等亿元以上项目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聚焦产业升级兴动能。坚持工业强市、产业兴市战略不动摇，发展壮大新兴产业，积极发展现代服务业，持续优化产业结构，不断塑造发展新动能新优势。加快新兴产业集群建设。聚焦新能源汽车及零部件、新材料等重点产业领域，积极开展“双招双引”，引进和培育一批具有市场竞争力和群主链主地位的领军企业，以及高层次创新创业团队和人才，争取更多人才团队纳入省重点扶持范畴。做大做强陶铝和铝基高端金属材料、先进高分子结构材料2个省级战新基地，实行“企业+产业+社会+政府”大兵团作战，推进产业链、创新链、资金链、人才链“四链”融合发展，深化与省属企业合作，举办铝箔创新发展论坛、能源电池材料产业大会等会展活动。全力推进能源基地建设。积极开展煤炭核增产能前期工作，改扩建任楼煤矿、袁店一井煤矿，新建黄集煤矿，3个项目总投资78亿元，预计新增煤炭产能370万吨。积极实施风电、光伏等可再生能源替代行动，加快推进续建和新开工新能源项目建设，力争2025年全市可再生能源装机规模新增70万千瓦，新增投资40亿元。积极推进临涣中利发电、国安电力煤电机组等容量替代项目前期工作，总投资60亿元，改造大唐淮北虎山电厂。实施“源网荷储”一体化项目，形成装机规模77万千瓦。加快推进宿州-淮北-萧县-砀山（淮北段）天然气管网项目建设。</w:t>
      </w:r>
      <w:r>
        <w:rPr>
          <w:rFonts w:hint="default" w:ascii="Times New Roman" w:hAnsi="Times New Roman" w:eastAsia="仿宋_GB2312" w:cs="Times New Roman"/>
          <w:sz w:val="32"/>
          <w:szCs w:val="32"/>
          <w:lang w:val="zh-CN" w:eastAsia="zh-CN"/>
        </w:rPr>
        <w:t>持续推动服务业锻长补短。强化服务业运行调度，压实主体责任，对存在问题及时下发工作提示单，适时提请政府召开专题推进会，逐项指标分析原因、研判对策。</w:t>
      </w:r>
      <w:r>
        <w:rPr>
          <w:rFonts w:hint="default" w:ascii="Times New Roman" w:hAnsi="Times New Roman" w:eastAsia="仿宋_GB2312" w:cs="Times New Roman"/>
          <w:sz w:val="32"/>
          <w:szCs w:val="32"/>
          <w:lang w:val="en-US" w:eastAsia="zh-CN"/>
        </w:rPr>
        <w:t>聚焦薄弱领域、空白行业，加大服务业重点领域项目招引力度，力争引进一批服务业大项目、好项目。加快推进淮北零碳智慧物流产业园、淮北老电厂夔牛天街、零碳智慧快递电商集散中心项目（相山区）等项目建设进度，积极推动淮北市粮食和物资储备库项目、濉溪县冷链物流中心、青龙山智慧物流园等项目开工建设。动态建立服务业发展龙头库、培育库、发展库，2025年力争龙头库库内企业100家、培育库库内企业30家、发展库30家。培育规上、省重点服务业企业15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4、聚焦开放合作激活力。深化高水平开放和深层次合作，充分发挥改革的突破和先导作用，实现各类发展要素的统筹兼顾，下好协调发展一盘棋。深度融入长三角一体化发展。持续开展对标沪苏浙行动，在产业协作、教育、省际产业合作园区等重点合作事项方面，进一步加强与沪苏浙对口对接、深度合作，立体式融入长三角一体化发展。加强与徐州市沟通对接，共商共推徐淮结对合作帮扶需求清单。持续推动《徐淮结对合作帮扶工作方案》确定的8个领域18个方面合作事项落实落地。加快推进徐州供水项目建设。落实《段园新型功能区高质量发展三年行动方案》，加快徐淮产业合作园和段园省际毗邻地区新型功能区建设，将段园打造成为淮北融长的“样板区”“先行区”。全力推动开发区改革。做好开发区体制机制改革工作，围绕2025年发展目标，加强开发区经济运行调度，推动解决园区发展中存在的问题，推动园区高质量发展；深化用人制度改革，持续落实全市开发区干部人事制度改革方案；不断深化“管委会+公司”改革，支持做大开发区开发运营公司资产规模、增进信用评级；纵深推进“亩均论英雄”改革，积极盘活闲置资产；落实酬绩效考核，持续提升园区内生动力。持续优化营商环境。实施高标准市场体系建设行动，加快推进要素市场化改革，进一步健全要素市场体系。深入落实市场准入负面清单制度，积极排查妨碍全国统一大市场建设典型案例。持续推进社会信用体系建设，探索“信易贷”等信用惠民便企产品，对各类守信主体提供公共服务便利和优惠。落实《淮北市天然气上下游价格联动机制实施方案》，推动下游终端销售价格随上游气源采购成本变化做同向调整。加快全市供热一张网建设，落实《关于建立工业蒸汽价格机制的意见（试行）》，规范供热各个环节的价格行为，保障价格合理、公开透明。积极推进沱浍河航道、萧濉新河航道、临涣船闸、韩村码头等航道水利项目建设，持续降低物流运输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5、聚焦绿色低碳促转型。聚焦“绿色转型发展示范城市、国家重要新型综合能源基地”发展定位，坚定不移走生态优先、绿色发展之路，协同推进降碳减污扩绿增长取得新成效。统筹推进新型城镇化建设。积极推进东部新城、高铁西站片区、绿金湖西岸片区等建设，进一步拓展城市发展空间。突出运营前置，采取市场化的办法，对城市资产和要素优化配置，推进新城新区、特色园区建设，加快实施相山啤酒厂、大唐电厂等淮北老工业遗址开发利用等项目。优化公共服务，加快优质教育资源扩容提质，加大高端医疗资源供给。加快濉溪县省级新型城镇化试点县城建设，推进县区特色产业集群（基地）建设，加快发展县域特色经济。深入实施“双碳”战略。全面落实《淮北市碳达峰实施方案》，加快推动我市碳达峰重点任务落实和重大工程建设。加快发展绿色低碳产业，建立绿色低碳项目库，加强节能环保、碳减排技术、循环经济等领域的重点项目谋划、储备和建设。强化县区、园区用能预警，实行“一企一策”管理，推进电力等行业节能降碳，深挖企业节能减排潜力。持续推进采煤沉陷区、独立工矿区综合治理。“一区一策”编制已关闭煤矿未治理沉陷区治理方案，督促淮北矿业集团、皖北煤电集团等落实治理方案，推动在产煤矿“边开采、边治理”，完成2025年上报省拟采取工程方式治理任务5771.6亩。加快推进杜集区国家采煤沉陷区综合治理试点、濉溪县国家独立工矿区改造提升试点项目建设，推动百善镇雁鸣安置小区二期、百善镇丁楼村避险搬迁安置项目建设，积极争取2025年资源型地区转型方向中央预算内资金支持。加强与国开行安徽分行协调对接，为符合条件的项目争取贷款支持。</w:t>
      </w:r>
    </w:p>
    <w:p>
      <w:pP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6、聚焦共建共享惠民生。</w:t>
      </w:r>
      <w:r>
        <w:rPr>
          <w:rFonts w:hint="default" w:ascii="Times New Roman" w:hAnsi="Times New Roman" w:eastAsia="仿宋_GB2312" w:cs="Times New Roman"/>
          <w:b w:val="0"/>
          <w:bCs w:val="0"/>
          <w:color w:val="000000"/>
          <w:kern w:val="0"/>
          <w:sz w:val="32"/>
          <w:szCs w:val="32"/>
          <w:u w:val="none" w:color="auto"/>
          <w:lang w:val="en-US" w:eastAsia="zh-CN" w:bidi="ar-SA"/>
        </w:rPr>
        <w:t>坚持以人为本，在发展中保障和改善民生，着力让人民群众获得感、幸福感、安全感更加充实、更有保障、更可持续。着力办好民生实事。围绕社会服务设施等国家支持方向，谋深谋实一批民生项目，争取更多项目获批中央预算内资金支持。严格对照省下达我市民生实事的目标任务清单，对标对表抓好落实，着力解决民生项目建设过程中的“痛点”和“堵点”，持续长久发挥项目的社会效益，开展社情民意调查，通过“民声呼应”平台、网络媒体及时掌握群众对民生实事的成效评价和意见建议，切实提高民众满意度，推动民生实事高质量实施。着力保障粮食能源安全。</w:t>
      </w:r>
      <w:r>
        <w:rPr>
          <w:rFonts w:hint="default" w:ascii="Times New Roman" w:hAnsi="Times New Roman" w:eastAsia="仿宋_GB2312" w:cs="Times New Roman"/>
          <w:b w:val="0"/>
          <w:bCs w:val="0"/>
          <w:color w:val="000000"/>
          <w:kern w:val="0"/>
          <w:sz w:val="32"/>
          <w:szCs w:val="32"/>
          <w:u w:val="none" w:color="auto"/>
          <w:lang w:eastAsia="zh-CN" w:bidi="ar-SA"/>
        </w:rPr>
        <w:t>全面落实粮食安全考核责任制，做好粮食</w:t>
      </w:r>
      <w:r>
        <w:rPr>
          <w:rFonts w:hint="default" w:ascii="Times New Roman" w:hAnsi="Times New Roman" w:eastAsia="仿宋_GB2312" w:cs="Times New Roman"/>
          <w:b w:val="0"/>
          <w:bCs w:val="0"/>
          <w:color w:val="000000"/>
          <w:kern w:val="0"/>
          <w:sz w:val="32"/>
          <w:szCs w:val="32"/>
          <w:u w:val="none" w:color="auto"/>
          <w:lang w:val="en-US" w:eastAsia="zh-CN" w:bidi="ar-SA"/>
        </w:rPr>
        <w:t>收储</w:t>
      </w:r>
      <w:r>
        <w:rPr>
          <w:rFonts w:hint="default" w:ascii="Times New Roman" w:hAnsi="Times New Roman" w:eastAsia="仿宋_GB2312" w:cs="Times New Roman"/>
          <w:b w:val="0"/>
          <w:bCs w:val="0"/>
          <w:color w:val="000000"/>
          <w:kern w:val="0"/>
          <w:sz w:val="32"/>
          <w:szCs w:val="32"/>
          <w:u w:val="none" w:color="auto"/>
          <w:lang w:eastAsia="zh-CN" w:bidi="ar-SA"/>
        </w:rPr>
        <w:t>工作。完善地方粮食储备管理，</w:t>
      </w:r>
      <w:r>
        <w:rPr>
          <w:rFonts w:hint="default" w:ascii="Times New Roman" w:hAnsi="Times New Roman" w:eastAsia="仿宋_GB2312" w:cs="Times New Roman"/>
          <w:b w:val="0"/>
          <w:bCs w:val="0"/>
          <w:color w:val="000000"/>
          <w:kern w:val="0"/>
          <w:sz w:val="32"/>
          <w:szCs w:val="32"/>
          <w:u w:val="none" w:color="auto"/>
          <w:lang w:val="en-US" w:eastAsia="zh-CN" w:bidi="ar-SA"/>
        </w:rPr>
        <w:t>2025年</w:t>
      </w:r>
      <w:r>
        <w:rPr>
          <w:rFonts w:hint="default" w:ascii="Times New Roman" w:hAnsi="Times New Roman" w:eastAsia="仿宋_GB2312" w:cs="Times New Roman"/>
          <w:b w:val="0"/>
          <w:bCs w:val="0"/>
          <w:color w:val="000000"/>
          <w:kern w:val="0"/>
          <w:sz w:val="32"/>
          <w:szCs w:val="32"/>
          <w:u w:val="none" w:color="auto"/>
          <w:lang w:eastAsia="zh-CN" w:bidi="ar-SA"/>
        </w:rPr>
        <w:t>计划完成市级储备小麦1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w:t>
      </w:r>
      <w:r>
        <w:rPr>
          <w:rFonts w:hint="default" w:ascii="Times New Roman" w:hAnsi="Times New Roman" w:eastAsia="仿宋_GB2312" w:cs="Times New Roman"/>
          <w:b w:val="0"/>
          <w:bCs w:val="0"/>
          <w:color w:val="000000"/>
          <w:kern w:val="0"/>
          <w:sz w:val="32"/>
          <w:szCs w:val="32"/>
          <w:u w:val="none" w:color="auto"/>
          <w:lang w:eastAsia="zh-CN" w:bidi="ar-SA"/>
        </w:rPr>
        <w:t>81万吨以及县级储备小麦1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.70</w:t>
      </w:r>
      <w:r>
        <w:rPr>
          <w:rFonts w:hint="default" w:ascii="Times New Roman" w:hAnsi="Times New Roman" w:eastAsia="仿宋_GB2312" w:cs="Times New Roman"/>
          <w:b w:val="0"/>
          <w:bCs w:val="0"/>
          <w:color w:val="000000"/>
          <w:kern w:val="0"/>
          <w:sz w:val="32"/>
          <w:szCs w:val="32"/>
          <w:u w:val="none" w:color="auto"/>
          <w:lang w:eastAsia="zh-CN" w:bidi="ar-SA"/>
        </w:rPr>
        <w:t>吨的轮换计划。做好160万元救灾物资招标采购和验收入库工作，加强市救灾物资储备库的日常管理和物资维护。做好电力、能源项目投资，加快大唐虎山电厂储能电站、濉溪韩村储能电站（一期）等项目推进工作。</w:t>
      </w:r>
      <w:r>
        <w:rPr>
          <w:rFonts w:hint="default" w:ascii="Times New Roman" w:hAnsi="Times New Roman" w:eastAsia="仿宋_GB2312" w:cs="Times New Roman"/>
          <w:b w:val="0"/>
          <w:bCs w:val="0"/>
          <w:color w:val="000000"/>
          <w:kern w:val="0"/>
          <w:sz w:val="32"/>
          <w:szCs w:val="32"/>
          <w:u w:val="none" w:color="auto"/>
          <w:lang w:val="en-US" w:eastAsia="zh-CN" w:bidi="ar-SA"/>
        </w:rPr>
        <w:t>着力强化市场保供稳价。完善能源保供应急机制，优化落实煤炭、电力、天然气保</w:t>
      </w:r>
      <w:r>
        <w:rPr>
          <w:rFonts w:hint="default" w:ascii="Times New Roman" w:hAnsi="Times New Roman" w:eastAsia="仿宋_GB2312" w:cs="Times New Roman"/>
          <w:b w:val="0"/>
          <w:bCs w:val="0"/>
          <w:color w:val="000000"/>
          <w:sz w:val="32"/>
          <w:szCs w:val="32"/>
          <w:u w:val="none" w:color="auto"/>
          <w:lang w:val="en-US" w:eastAsia="zh-CN" w:bidi="ar-SA"/>
        </w:rPr>
        <w:t>供方案，加强电力需求侧管理，保障能源顺利迎峰度夏、度冬。积极推进第二气源前期工作。</w:t>
      </w:r>
      <w:r>
        <w:rPr>
          <w:rFonts w:hint="default" w:ascii="Times New Roman" w:hAnsi="Times New Roman" w:eastAsia="仿宋_GB2312" w:cs="Times New Roman"/>
          <w:b w:val="0"/>
          <w:bCs w:val="0"/>
          <w:color w:val="000000"/>
          <w:sz w:val="32"/>
          <w:szCs w:val="32"/>
          <w:u w:val="none" w:color="auto"/>
          <w:lang w:bidi="ar-SA"/>
        </w:rPr>
        <w:t>密切跟踪监测与群众密切相关的肉、禽、蛋、菜等副食品价格变化</w:t>
      </w:r>
      <w:r>
        <w:rPr>
          <w:rFonts w:hint="default" w:ascii="Times New Roman" w:hAnsi="Times New Roman" w:eastAsia="仿宋_GB2312" w:cs="Times New Roman"/>
          <w:b w:val="0"/>
          <w:bCs w:val="0"/>
          <w:color w:val="000000"/>
          <w:sz w:val="32"/>
          <w:szCs w:val="32"/>
          <w:u w:val="none" w:color="auto"/>
          <w:lang w:eastAsia="zh-CN" w:bidi="ar-SA"/>
        </w:rPr>
        <w:t>，</w:t>
      </w:r>
      <w:r>
        <w:rPr>
          <w:rFonts w:hint="default" w:ascii="Times New Roman" w:hAnsi="Times New Roman" w:eastAsia="仿宋_GB2312" w:cs="Times New Roman"/>
          <w:b w:val="0"/>
          <w:bCs w:val="0"/>
          <w:color w:val="000000"/>
          <w:sz w:val="32"/>
          <w:szCs w:val="32"/>
          <w:u w:val="none" w:color="auto"/>
          <w:lang w:bidi="ar-SA"/>
        </w:rPr>
        <w:t>做好价格监测预警分析</w:t>
      </w:r>
      <w:r>
        <w:rPr>
          <w:rFonts w:hint="default" w:ascii="Times New Roman" w:hAnsi="Times New Roman" w:eastAsia="仿宋_GB2312" w:cs="Times New Roman"/>
          <w:b w:val="0"/>
          <w:bCs w:val="0"/>
          <w:color w:val="000000"/>
          <w:sz w:val="32"/>
          <w:szCs w:val="32"/>
          <w:u w:val="none" w:color="auto"/>
          <w:lang w:eastAsia="zh-CN" w:bidi="ar-SA"/>
        </w:rPr>
        <w:t>，确保市场重要民生商品和大宗商品价格平稳，及时足额向困难群众发放价格临时补贴。</w:t>
      </w:r>
      <w:r>
        <w:rPr>
          <w:rFonts w:hint="default" w:ascii="Times New Roman" w:hAnsi="Times New Roman" w:eastAsia="仿宋_GB2312" w:cs="Times New Roman"/>
          <w:b w:val="0"/>
          <w:bCs w:val="0"/>
          <w:color w:val="000000"/>
          <w:sz w:val="32"/>
          <w:szCs w:val="32"/>
          <w:u w:val="none" w:color="auto"/>
          <w:lang w:bidi="ar-SA"/>
        </w:rPr>
        <w:t>建立稳定“菜篮子”价格长效机制，</w:t>
      </w:r>
      <w:r>
        <w:rPr>
          <w:rFonts w:hint="default" w:ascii="Times New Roman" w:hAnsi="Times New Roman" w:eastAsia="仿宋_GB2312" w:cs="Times New Roman"/>
          <w:b w:val="0"/>
          <w:bCs w:val="0"/>
          <w:color w:val="000000"/>
          <w:sz w:val="32"/>
          <w:szCs w:val="32"/>
          <w:u w:val="none" w:color="auto"/>
          <w:lang w:eastAsia="zh-CN" w:bidi="ar-SA"/>
        </w:rPr>
        <w:t>加强猪肉等生活物资储备调节，保障市场稳定供应。</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预算表</w:t>
      </w:r>
    </w:p>
    <w:p>
      <w:pPr>
        <w:pStyle w:val="6"/>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pPr>
        <w:rPr>
          <w:rFonts w:hint="default" w:ascii="Times New Roman" w:hAnsi="Times New Roman" w:cs="Times New Roman"/>
        </w:rPr>
      </w:pPr>
      <w:r>
        <w:rPr>
          <w:rFonts w:hint="default" w:ascii="Times New Roman" w:hAnsi="Times New Roman" w:cs="Times New Roman"/>
        </w:rPr>
        <w:t xml:space="preserve">                                        </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w:t>
      </w:r>
      <w:r>
        <w:rPr>
          <w:rFonts w:hint="eastAsia" w:ascii="Times New Roman" w:hAnsi="Times New Roman" w:eastAsia="黑体" w:cs="Times New Roman"/>
          <w:bCs/>
          <w:sz w:val="36"/>
          <w:szCs w:val="36"/>
          <w:lang w:eastAsia="zh-CN"/>
        </w:rPr>
        <w:t>单位</w:t>
      </w:r>
      <w:r>
        <w:rPr>
          <w:rFonts w:hint="default" w:ascii="Times New Roman" w:hAnsi="Times New Roman" w:eastAsia="黑体" w:cs="Times New Roman"/>
          <w:bCs/>
          <w:sz w:val="36"/>
          <w:szCs w:val="36"/>
        </w:rPr>
        <w:t>预算情况说明</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按照综合预算的原则，淮北市发展和改革委员会所有收入和支出均纳入部门预算管理。淮北市发展和改革委员会2025年收支总预算</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sz w:val="32"/>
          <w:szCs w:val="32"/>
        </w:rPr>
        <w:t>万元，收入全部是一般公共预算拨款收入</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sz w:val="32"/>
          <w:szCs w:val="32"/>
        </w:rPr>
        <w:t>万元，支出包括：一般公共服务支出、社会保障和就业支出、卫生健康支出、住房保障支出、粮油物资储备支出。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2025年收入预算</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万元，其中，本年收入</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bCs w:val="0"/>
          <w:kern w:val="0"/>
          <w:sz w:val="32"/>
          <w:szCs w:val="32"/>
        </w:rPr>
        <w:t>本年收入</w:t>
      </w:r>
      <w:r>
        <w:rPr>
          <w:rFonts w:hint="eastAsia" w:ascii="Times New Roman" w:hAnsi="Times New Roman" w:eastAsia="仿宋_GB2312" w:cs="Times New Roman"/>
          <w:b/>
          <w:bCs w:val="0"/>
          <w:sz w:val="32"/>
          <w:szCs w:val="32"/>
          <w:lang w:val="en-US" w:eastAsia="zh-CN"/>
        </w:rPr>
        <w:t>4911.89</w:t>
      </w:r>
      <w:r>
        <w:rPr>
          <w:rFonts w:hint="default" w:ascii="Times New Roman" w:hAnsi="Times New Roman" w:eastAsia="仿宋_GB2312" w:cs="Times New Roman"/>
          <w:b/>
          <w:bCs w:val="0"/>
          <w:kern w:val="0"/>
          <w:sz w:val="32"/>
          <w:szCs w:val="32"/>
        </w:rPr>
        <w:t>万元</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主要包括：一般公共预算拨款收入</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lang w:val="en-US" w:eastAsia="zh-CN"/>
        </w:rPr>
        <w:t>712.50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16.97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；政府性基金预算拨款收入0万元，占0%，与202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政府性基金；财政专户管理资金收入0万元，占0%，与202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财政专户管理资金。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2025年支出预算</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万元，比2024年预算增加</w:t>
      </w:r>
      <w:r>
        <w:rPr>
          <w:rFonts w:hint="eastAsia" w:ascii="Times New Roman" w:hAnsi="Times New Roman" w:eastAsia="仿宋_GB2312" w:cs="Times New Roman"/>
          <w:kern w:val="0"/>
          <w:sz w:val="32"/>
          <w:szCs w:val="32"/>
          <w:lang w:val="en-US" w:eastAsia="zh-CN"/>
        </w:rPr>
        <w:t>712.50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16.97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。其中，基本支出</w:t>
      </w:r>
      <w:r>
        <w:rPr>
          <w:rFonts w:hint="eastAsia" w:ascii="Times New Roman" w:hAnsi="Times New Roman" w:eastAsia="仿宋_GB2312" w:cs="Times New Roman"/>
          <w:kern w:val="0"/>
          <w:sz w:val="32"/>
          <w:szCs w:val="32"/>
          <w:lang w:val="en-US" w:eastAsia="zh-CN"/>
        </w:rPr>
        <w:t>2223.83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45.27</w:t>
      </w:r>
      <w:r>
        <w:rPr>
          <w:rFonts w:hint="default" w:ascii="Times New Roman" w:hAnsi="Times New Roman" w:eastAsia="仿宋_GB2312" w:cs="Times New Roman"/>
          <w:kern w:val="0"/>
          <w:sz w:val="32"/>
          <w:szCs w:val="32"/>
        </w:rPr>
        <w:t>%，主要用于保障</w:t>
      </w:r>
      <w:r>
        <w:rPr>
          <w:rFonts w:hint="default" w:ascii="Times New Roman" w:hAnsi="Times New Roman" w:eastAsia="仿宋_GB2312" w:cs="Times New Roman"/>
          <w:kern w:val="0"/>
          <w:sz w:val="32"/>
          <w:szCs w:val="32"/>
          <w:lang w:eastAsia="zh-CN"/>
        </w:rPr>
        <w:t>人员经费、</w:t>
      </w:r>
      <w:r>
        <w:rPr>
          <w:rFonts w:hint="default" w:ascii="Times New Roman" w:hAnsi="Times New Roman" w:eastAsia="仿宋_GB2312" w:cs="Times New Roman"/>
          <w:kern w:val="0"/>
          <w:sz w:val="32"/>
          <w:szCs w:val="32"/>
        </w:rPr>
        <w:t>机构日常运转、完成日常工作任务；项目支出</w:t>
      </w:r>
      <w:r>
        <w:rPr>
          <w:rFonts w:hint="eastAsia" w:ascii="Times New Roman" w:hAnsi="Times New Roman" w:eastAsia="仿宋_GB2312" w:cs="Times New Roman"/>
          <w:kern w:val="0"/>
          <w:sz w:val="32"/>
          <w:szCs w:val="32"/>
          <w:lang w:val="en-US" w:eastAsia="zh-CN"/>
        </w:rPr>
        <w:t>2688.06</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54.73</w:t>
      </w:r>
      <w:r>
        <w:rPr>
          <w:rFonts w:hint="default" w:ascii="Times New Roman" w:hAnsi="Times New Roman" w:eastAsia="仿宋_GB2312" w:cs="Times New Roman"/>
          <w:kern w:val="0"/>
          <w:sz w:val="32"/>
          <w:szCs w:val="32"/>
        </w:rPr>
        <w:t>%，主要用于帮助推动企业发展，部门各类项目支出以及规划编制等。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pPr>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2025年财政拨款收支预算</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万元。收入按资金来源分为：一般公共预算拨款</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万元；按资金年度分为：本年财政拨款收入</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万元。支出按功能分类分为：一般公共服务支出</w:t>
      </w:r>
      <w:r>
        <w:rPr>
          <w:rFonts w:hint="eastAsia" w:ascii="Times New Roman" w:hAnsi="Times New Roman" w:eastAsia="仿宋_GB2312" w:cs="Times New Roman"/>
          <w:kern w:val="0"/>
          <w:sz w:val="32"/>
          <w:szCs w:val="32"/>
          <w:lang w:val="en-US" w:eastAsia="zh-CN"/>
        </w:rPr>
        <w:t>3156.04</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64.25</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577.85</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11.76</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88.32</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1.80</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248.33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5.06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17.13</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2025年一般公共预算支出</w:t>
      </w:r>
      <w:r>
        <w:rPr>
          <w:rFonts w:hint="eastAsia" w:ascii="Times New Roman" w:hAnsi="Times New Roman" w:eastAsia="仿宋_GB2312" w:cs="Times New Roman"/>
          <w:sz w:val="32"/>
          <w:szCs w:val="32"/>
          <w:lang w:val="en-US" w:eastAsia="zh-CN"/>
        </w:rPr>
        <w:t>4911.89</w:t>
      </w:r>
      <w:r>
        <w:rPr>
          <w:rFonts w:hint="default" w:ascii="Times New Roman" w:hAnsi="Times New Roman" w:eastAsia="仿宋_GB2312" w:cs="Times New Roman"/>
          <w:kern w:val="0"/>
          <w:sz w:val="32"/>
          <w:szCs w:val="32"/>
        </w:rPr>
        <w:t>万元，比2024年预算增加</w:t>
      </w:r>
      <w:r>
        <w:rPr>
          <w:rFonts w:hint="eastAsia" w:ascii="Times New Roman" w:hAnsi="Times New Roman" w:eastAsia="仿宋_GB2312" w:cs="Times New Roman"/>
          <w:kern w:val="0"/>
          <w:sz w:val="32"/>
          <w:szCs w:val="32"/>
          <w:lang w:val="en-US" w:eastAsia="zh-CN"/>
        </w:rPr>
        <w:t>712.50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16.97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eastAsia" w:ascii="Times New Roman" w:hAnsi="Times New Roman" w:eastAsia="仿宋_GB2312" w:cs="Times New Roman"/>
          <w:kern w:val="0"/>
          <w:sz w:val="32"/>
          <w:szCs w:val="32"/>
          <w:lang w:val="en-US" w:eastAsia="zh-CN"/>
        </w:rPr>
        <w:t>3156.04</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64.25</w:t>
      </w:r>
      <w:r>
        <w:rPr>
          <w:rFonts w:hint="default" w:ascii="Times New Roman" w:hAnsi="Times New Roman" w:eastAsia="仿宋_GB2312" w:cs="Times New Roman"/>
          <w:kern w:val="0"/>
          <w:sz w:val="32"/>
          <w:szCs w:val="32"/>
        </w:rPr>
        <w:t>%；社会保障和就业支出</w:t>
      </w:r>
      <w:r>
        <w:rPr>
          <w:rFonts w:hint="eastAsia" w:ascii="Times New Roman" w:hAnsi="Times New Roman" w:eastAsia="仿宋_GB2312" w:cs="Times New Roman"/>
          <w:kern w:val="0"/>
          <w:sz w:val="32"/>
          <w:szCs w:val="32"/>
          <w:lang w:val="en-US" w:eastAsia="zh-CN"/>
        </w:rPr>
        <w:t>577.85</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11.76</w:t>
      </w:r>
      <w:r>
        <w:rPr>
          <w:rFonts w:hint="default" w:ascii="Times New Roman" w:hAnsi="Times New Roman" w:eastAsia="仿宋_GB2312" w:cs="Times New Roman"/>
          <w:kern w:val="0"/>
          <w:sz w:val="32"/>
          <w:szCs w:val="32"/>
        </w:rPr>
        <w:t>%；卫生健康支出</w:t>
      </w:r>
      <w:r>
        <w:rPr>
          <w:rFonts w:hint="eastAsia" w:ascii="Times New Roman" w:hAnsi="Times New Roman" w:eastAsia="仿宋_GB2312" w:cs="Times New Roman"/>
          <w:kern w:val="0"/>
          <w:sz w:val="32"/>
          <w:szCs w:val="32"/>
          <w:lang w:val="en-US" w:eastAsia="zh-CN"/>
        </w:rPr>
        <w:t>88.32</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1.80</w:t>
      </w:r>
      <w:r>
        <w:rPr>
          <w:rFonts w:hint="default" w:ascii="Times New Roman" w:hAnsi="Times New Roman" w:eastAsia="仿宋_GB2312" w:cs="Times New Roman"/>
          <w:kern w:val="0"/>
          <w:sz w:val="32"/>
          <w:szCs w:val="32"/>
        </w:rPr>
        <w:t>%；住房保障支出</w:t>
      </w:r>
      <w:r>
        <w:rPr>
          <w:rFonts w:hint="eastAsia" w:ascii="Times New Roman" w:hAnsi="Times New Roman" w:eastAsia="仿宋_GB2312" w:cs="Times New Roman"/>
          <w:kern w:val="0"/>
          <w:sz w:val="32"/>
          <w:szCs w:val="32"/>
          <w:lang w:val="en-US" w:eastAsia="zh-CN"/>
        </w:rPr>
        <w:t>248.33</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5.06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17.13</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1、一般公共服务支出（类）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（款）行政运行（项）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eastAsia" w:ascii="Times New Roman" w:hAnsi="Times New Roman" w:eastAsia="仿宋_GB2312" w:cs="Times New Roman"/>
          <w:kern w:val="0"/>
          <w:sz w:val="32"/>
          <w:szCs w:val="32"/>
          <w:shd w:val="clear" w:color="auto" w:fill="auto"/>
          <w:lang w:val="en-US" w:eastAsia="zh-CN"/>
        </w:rPr>
        <w:t>1165.38</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eastAsia="zh-CN"/>
        </w:rPr>
        <w:t>增加</w:t>
      </w:r>
      <w:r>
        <w:rPr>
          <w:rFonts w:hint="eastAsia" w:ascii="Times New Roman" w:hAnsi="Times New Roman" w:eastAsia="仿宋_GB2312" w:cs="Times New Roman"/>
          <w:kern w:val="0"/>
          <w:sz w:val="32"/>
          <w:szCs w:val="32"/>
          <w:shd w:val="clear" w:color="auto" w:fill="auto"/>
          <w:lang w:val="en-US" w:eastAsia="zh-CN"/>
        </w:rPr>
        <w:t>12.73</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bidi="ar-SA"/>
        </w:rPr>
        <w:t>增长</w:t>
      </w:r>
      <w:r>
        <w:rPr>
          <w:rFonts w:hint="eastAsia" w:ascii="Times New Roman" w:hAnsi="Times New Roman" w:eastAsia="仿宋_GB2312" w:cs="Times New Roman"/>
          <w:kern w:val="0"/>
          <w:sz w:val="32"/>
          <w:szCs w:val="32"/>
          <w:shd w:val="clear" w:color="auto" w:fill="auto"/>
          <w:lang w:val="en-US" w:eastAsia="zh-CN" w:bidi="ar-SA"/>
        </w:rPr>
        <w:t>1.10</w:t>
      </w:r>
      <w:r>
        <w:rPr>
          <w:rFonts w:hint="default" w:ascii="Times New Roman" w:hAnsi="Times New Roman" w:eastAsia="仿宋_GB2312" w:cs="Times New Roman"/>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人员</w:t>
      </w:r>
      <w:r>
        <w:rPr>
          <w:rFonts w:hint="default" w:ascii="Times New Roman" w:hAnsi="Times New Roman" w:eastAsia="仿宋_GB2312" w:cs="Times New Roman"/>
          <w:kern w:val="0"/>
          <w:sz w:val="32"/>
          <w:szCs w:val="32"/>
          <w:shd w:val="clear" w:color="auto" w:fill="auto"/>
          <w:lang w:val="en-US" w:eastAsia="zh-CN"/>
        </w:rPr>
        <w:t>变动</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2、一般公共服务支出（类）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款）一般行政管理事务（项）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eastAsia" w:ascii="Times New Roman" w:hAnsi="Times New Roman" w:eastAsia="仿宋_GB2312" w:cs="Times New Roman"/>
          <w:kern w:val="0"/>
          <w:sz w:val="32"/>
          <w:szCs w:val="32"/>
          <w:shd w:val="clear" w:color="auto" w:fill="auto"/>
          <w:lang w:val="en-US" w:eastAsia="zh-CN"/>
        </w:rPr>
        <w:t>229.47</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减少</w:t>
      </w:r>
      <w:r>
        <w:rPr>
          <w:rFonts w:hint="eastAsia" w:ascii="Times New Roman" w:hAnsi="Times New Roman" w:eastAsia="仿宋_GB2312" w:cs="Times New Roman"/>
          <w:kern w:val="0"/>
          <w:sz w:val="32"/>
          <w:szCs w:val="32"/>
          <w:shd w:val="clear" w:color="auto" w:fill="auto"/>
          <w:lang w:val="en-US" w:eastAsia="zh-CN"/>
        </w:rPr>
        <w:t>148.03</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w:t>
      </w:r>
      <w:r>
        <w:rPr>
          <w:rFonts w:hint="eastAsia" w:ascii="Times New Roman" w:hAnsi="Times New Roman" w:eastAsia="仿宋_GB2312" w:cs="Times New Roman"/>
          <w:kern w:val="0"/>
          <w:sz w:val="32"/>
          <w:szCs w:val="32"/>
          <w:shd w:val="clear" w:color="auto" w:fill="auto"/>
          <w:lang w:val="en-US" w:eastAsia="zh-CN"/>
        </w:rPr>
        <w:t>39.21</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工作经费等项目</w:t>
      </w:r>
      <w:r>
        <w:rPr>
          <w:rFonts w:hint="default" w:ascii="Times New Roman" w:hAnsi="Times New Roman" w:eastAsia="仿宋_GB2312" w:cs="Times New Roman"/>
          <w:kern w:val="0"/>
          <w:sz w:val="32"/>
          <w:szCs w:val="32"/>
          <w:shd w:val="clear" w:color="auto" w:fill="auto"/>
          <w:lang w:val="en-US" w:eastAsia="zh-CN"/>
        </w:rPr>
        <w:t>预算金额减少</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3</w:t>
      </w:r>
      <w:r>
        <w:rPr>
          <w:rFonts w:hint="default" w:ascii="Times New Roman" w:hAnsi="Times New Roman" w:eastAsia="仿宋_GB2312" w:cs="Times New Roman"/>
          <w:bCs/>
          <w:kern w:val="0"/>
          <w:sz w:val="32"/>
          <w:szCs w:val="32"/>
          <w:shd w:val="clear" w:color="auto" w:fill="auto"/>
          <w:lang w:val="en-US" w:eastAsia="zh-CN" w:bidi="ar-SA"/>
        </w:rPr>
        <w:t>.一般公共服务支出（类）发展与改革事务（款）事业运行（项）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143.95</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w:t>
      </w:r>
      <w:r>
        <w:rPr>
          <w:rFonts w:hint="eastAsia" w:ascii="Times New Roman" w:hAnsi="Times New Roman" w:eastAsia="仿宋_GB2312" w:cs="Times New Roman"/>
          <w:kern w:val="0"/>
          <w:sz w:val="32"/>
          <w:szCs w:val="32"/>
          <w:shd w:val="clear" w:color="auto" w:fill="auto"/>
          <w:lang w:val="en-US" w:eastAsia="zh-CN" w:bidi="ar-SA"/>
        </w:rPr>
        <w:t>9.04</w:t>
      </w:r>
      <w:r>
        <w:rPr>
          <w:rFonts w:hint="default" w:ascii="Times New Roman" w:hAnsi="Times New Roman" w:eastAsia="仿宋_GB2312" w:cs="Times New Roman"/>
          <w:kern w:val="0"/>
          <w:sz w:val="32"/>
          <w:szCs w:val="32"/>
          <w:shd w:val="clear" w:color="auto" w:fill="auto"/>
          <w:lang w:val="en-US" w:eastAsia="zh-CN" w:bidi="ar-SA"/>
        </w:rPr>
        <w:t>万元，增长</w:t>
      </w:r>
      <w:r>
        <w:rPr>
          <w:rFonts w:hint="eastAsia" w:ascii="Times New Roman" w:hAnsi="Times New Roman" w:eastAsia="仿宋_GB2312" w:cs="Times New Roman"/>
          <w:kern w:val="0"/>
          <w:sz w:val="32"/>
          <w:szCs w:val="32"/>
          <w:shd w:val="clear" w:color="auto" w:fill="auto"/>
          <w:lang w:val="en-US" w:eastAsia="zh-CN" w:bidi="ar-SA"/>
        </w:rPr>
        <w:t>6.70</w:t>
      </w:r>
      <w:r>
        <w:rPr>
          <w:rFonts w:hint="default" w:ascii="Times New Roman" w:hAnsi="Times New Roman" w:eastAsia="仿宋_GB2312" w:cs="Times New Roman"/>
          <w:kern w:val="0"/>
          <w:sz w:val="32"/>
          <w:szCs w:val="32"/>
          <w:shd w:val="clear" w:color="auto" w:fill="auto"/>
          <w:lang w:val="en-US" w:eastAsia="zh-CN" w:bidi="ar-SA"/>
        </w:rPr>
        <w:t>%，原因主要是人员变动。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eastAsia" w:ascii="Times New Roman" w:hAnsi="Times New Roman" w:eastAsia="仿宋_GB2312" w:cs="Times New Roman"/>
          <w:bCs/>
          <w:kern w:val="0"/>
          <w:sz w:val="32"/>
          <w:szCs w:val="32"/>
          <w:shd w:val="clear" w:color="auto" w:fill="auto"/>
          <w:lang w:val="en-US" w:eastAsia="zh-CN" w:bidi="ar-SA"/>
        </w:rPr>
        <w:t>4</w:t>
      </w:r>
      <w:r>
        <w:rPr>
          <w:rFonts w:hint="default" w:ascii="Times New Roman" w:hAnsi="Times New Roman" w:eastAsia="仿宋_GB2312" w:cs="Times New Roman"/>
          <w:bCs/>
          <w:kern w:val="0"/>
          <w:sz w:val="32"/>
          <w:szCs w:val="32"/>
          <w:shd w:val="clear" w:color="auto" w:fill="auto"/>
          <w:lang w:val="en-US" w:eastAsia="zh-CN" w:bidi="ar-SA"/>
        </w:rPr>
        <w:t>.一般公共服务支出（类）发展与改革事务（款）其他发展与改革事务支出（项）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1617.24</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年预算增加1062.</w:t>
      </w:r>
      <w:r>
        <w:rPr>
          <w:rFonts w:hint="eastAsia" w:ascii="Times New Roman" w:hAnsi="Times New Roman" w:eastAsia="仿宋_GB2312" w:cs="Times New Roman"/>
          <w:kern w:val="0"/>
          <w:sz w:val="32"/>
          <w:szCs w:val="32"/>
          <w:shd w:val="clear" w:color="auto" w:fill="auto"/>
          <w:lang w:val="en-US" w:eastAsia="zh-CN" w:bidi="ar-SA"/>
        </w:rPr>
        <w:t>74</w:t>
      </w:r>
      <w:r>
        <w:rPr>
          <w:rFonts w:hint="default" w:ascii="Times New Roman" w:hAnsi="Times New Roman" w:eastAsia="仿宋_GB2312" w:cs="Times New Roman"/>
          <w:kern w:val="0"/>
          <w:sz w:val="32"/>
          <w:szCs w:val="32"/>
          <w:shd w:val="clear" w:color="auto" w:fill="auto"/>
          <w:lang w:val="en-US" w:eastAsia="zh-CN" w:bidi="ar-SA"/>
        </w:rPr>
        <w:t>万元，增长191.</w:t>
      </w:r>
      <w:r>
        <w:rPr>
          <w:rFonts w:hint="eastAsia" w:ascii="Times New Roman" w:hAnsi="Times New Roman" w:eastAsia="仿宋_GB2312" w:cs="Times New Roman"/>
          <w:kern w:val="0"/>
          <w:sz w:val="32"/>
          <w:szCs w:val="32"/>
          <w:shd w:val="clear" w:color="auto" w:fill="auto"/>
          <w:lang w:val="en-US" w:eastAsia="zh-CN" w:bidi="ar-SA"/>
        </w:rPr>
        <w:t>66</w:t>
      </w:r>
      <w:r>
        <w:rPr>
          <w:rFonts w:hint="default" w:ascii="Times New Roman" w:hAnsi="Times New Roman" w:eastAsia="仿宋_GB2312" w:cs="Times New Roman"/>
          <w:kern w:val="0"/>
          <w:sz w:val="32"/>
          <w:szCs w:val="32"/>
          <w:shd w:val="clear" w:color="auto" w:fill="auto"/>
          <w:lang w:val="en-US" w:eastAsia="zh-CN" w:bidi="ar-SA"/>
        </w:rPr>
        <w:t>%，原因主要是援藏工作经费等项目预算金额增加。</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5</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社会保障和就业支出（类）行政</w:t>
      </w:r>
      <w:r>
        <w:rPr>
          <w:rFonts w:hint="default" w:ascii="Times New Roman" w:hAnsi="Times New Roman" w:eastAsia="仿宋_GB2312" w:cs="Times New Roman"/>
          <w:kern w:val="0"/>
          <w:sz w:val="32"/>
          <w:szCs w:val="32"/>
          <w:shd w:val="clear" w:color="auto" w:fill="auto"/>
          <w:lang w:eastAsia="zh-CN"/>
        </w:rPr>
        <w:t>事业</w:t>
      </w:r>
      <w:r>
        <w:rPr>
          <w:rFonts w:hint="default" w:ascii="Times New Roman" w:hAnsi="Times New Roman" w:eastAsia="仿宋_GB2312" w:cs="Times New Roman"/>
          <w:kern w:val="0"/>
          <w:sz w:val="32"/>
          <w:szCs w:val="32"/>
          <w:shd w:val="clear" w:color="auto" w:fill="auto"/>
        </w:rPr>
        <w:t>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kern w:val="0"/>
          <w:sz w:val="32"/>
          <w:szCs w:val="32"/>
          <w:shd w:val="clear" w:color="auto" w:fill="auto"/>
          <w:lang w:eastAsia="zh-CN"/>
        </w:rPr>
        <w:t>行政单位离退休</w:t>
      </w:r>
      <w:r>
        <w:rPr>
          <w:rFonts w:hint="default" w:ascii="Times New Roman" w:hAnsi="Times New Roman" w:eastAsia="仿宋_GB2312" w:cs="Times New Roman"/>
          <w:kern w:val="0"/>
          <w:sz w:val="32"/>
          <w:szCs w:val="32"/>
          <w:shd w:val="clear" w:color="auto" w:fill="auto"/>
        </w:rPr>
        <w:t>（项）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341.17</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w:t>
      </w:r>
      <w:r>
        <w:rPr>
          <w:rFonts w:hint="eastAsia" w:ascii="Times New Roman" w:hAnsi="Times New Roman" w:eastAsia="仿宋_GB2312" w:cs="Times New Roman"/>
          <w:kern w:val="0"/>
          <w:sz w:val="32"/>
          <w:szCs w:val="32"/>
          <w:shd w:val="clear" w:color="auto" w:fill="auto"/>
          <w:lang w:val="en-US" w:eastAsia="zh-CN" w:bidi="ar-SA"/>
        </w:rPr>
        <w:t>54.97</w:t>
      </w:r>
      <w:r>
        <w:rPr>
          <w:rFonts w:hint="default" w:ascii="Times New Roman" w:hAnsi="Times New Roman" w:eastAsia="仿宋_GB2312" w:cs="Times New Roman"/>
          <w:kern w:val="0"/>
          <w:sz w:val="32"/>
          <w:szCs w:val="32"/>
          <w:shd w:val="clear" w:color="auto" w:fill="auto"/>
          <w:lang w:val="en-US" w:eastAsia="zh-CN" w:bidi="ar-SA"/>
        </w:rPr>
        <w:t>万元，增长19.1</w:t>
      </w:r>
      <w:r>
        <w:rPr>
          <w:rFonts w:hint="eastAsia" w:ascii="Times New Roman" w:hAnsi="Times New Roman" w:eastAsia="仿宋_GB2312" w:cs="Times New Roman"/>
          <w:kern w:val="0"/>
          <w:sz w:val="32"/>
          <w:szCs w:val="32"/>
          <w:shd w:val="clear" w:color="auto" w:fill="auto"/>
          <w:lang w:val="en-US" w:eastAsia="zh-CN" w:bidi="ar-SA"/>
        </w:rPr>
        <w:t>2</w:t>
      </w:r>
      <w:r>
        <w:rPr>
          <w:rFonts w:hint="default" w:ascii="Times New Roman" w:hAnsi="Times New Roman" w:eastAsia="仿宋_GB2312" w:cs="Times New Roman"/>
          <w:kern w:val="0"/>
          <w:sz w:val="32"/>
          <w:szCs w:val="32"/>
          <w:shd w:val="clear" w:color="auto" w:fill="auto"/>
          <w:lang w:val="en-US" w:eastAsia="zh-CN" w:bidi="ar-SA"/>
        </w:rPr>
        <w:t>1%，原因主要是离退休人员变动。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6</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机关事业单位基本养老保险缴费支出（项）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156.55</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w:t>
      </w:r>
      <w:r>
        <w:rPr>
          <w:rFonts w:hint="eastAsia" w:ascii="Times New Roman" w:hAnsi="Times New Roman" w:eastAsia="仿宋_GB2312" w:cs="Times New Roman"/>
          <w:kern w:val="0"/>
          <w:sz w:val="32"/>
          <w:szCs w:val="32"/>
          <w:shd w:val="clear" w:color="auto" w:fill="auto"/>
          <w:lang w:val="en-US" w:eastAsia="zh-CN" w:bidi="ar-SA"/>
        </w:rPr>
        <w:t>3.40</w:t>
      </w:r>
      <w:r>
        <w:rPr>
          <w:rFonts w:hint="default" w:ascii="Times New Roman" w:hAnsi="Times New Roman" w:eastAsia="仿宋_GB2312" w:cs="Times New Roman"/>
          <w:kern w:val="0"/>
          <w:sz w:val="32"/>
          <w:szCs w:val="32"/>
          <w:shd w:val="clear" w:color="auto" w:fill="auto"/>
          <w:lang w:val="en-US" w:eastAsia="zh-CN" w:bidi="ar-SA"/>
        </w:rPr>
        <w:t>万元，增长</w:t>
      </w:r>
      <w:r>
        <w:rPr>
          <w:rFonts w:hint="eastAsia" w:ascii="Times New Roman" w:hAnsi="Times New Roman" w:eastAsia="仿宋_GB2312" w:cs="Times New Roman"/>
          <w:kern w:val="0"/>
          <w:sz w:val="32"/>
          <w:szCs w:val="32"/>
          <w:shd w:val="clear" w:color="auto" w:fill="auto"/>
          <w:lang w:val="en-US" w:eastAsia="zh-CN" w:bidi="ar-SA"/>
        </w:rPr>
        <w:t>2.22</w:t>
      </w:r>
      <w:r>
        <w:rPr>
          <w:rFonts w:hint="default" w:ascii="Times New Roman" w:hAnsi="Times New Roman" w:eastAsia="仿宋_GB2312" w:cs="Times New Roman"/>
          <w:kern w:val="0"/>
          <w:sz w:val="32"/>
          <w:szCs w:val="32"/>
          <w:shd w:val="clear" w:color="auto" w:fill="auto"/>
          <w:lang w:val="en-US" w:eastAsia="zh-CN" w:bidi="ar-SA"/>
        </w:rPr>
        <w:t>%，原因主要是机关事业单位基本养老保险基数调整。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7</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机关事业单位职业年金缴费支出（项）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78.27</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w:t>
      </w:r>
      <w:r>
        <w:rPr>
          <w:rFonts w:hint="eastAsia" w:ascii="Times New Roman" w:hAnsi="Times New Roman" w:eastAsia="仿宋_GB2312" w:cs="Times New Roman"/>
          <w:kern w:val="0"/>
          <w:sz w:val="32"/>
          <w:szCs w:val="32"/>
          <w:shd w:val="clear" w:color="auto" w:fill="auto"/>
          <w:lang w:val="en-US" w:eastAsia="zh-CN" w:bidi="ar-SA"/>
        </w:rPr>
        <w:t>1.70</w:t>
      </w:r>
      <w:r>
        <w:rPr>
          <w:rFonts w:hint="default" w:ascii="Times New Roman" w:hAnsi="Times New Roman" w:eastAsia="仿宋_GB2312" w:cs="Times New Roman"/>
          <w:kern w:val="0"/>
          <w:sz w:val="32"/>
          <w:szCs w:val="32"/>
          <w:shd w:val="clear" w:color="auto" w:fill="auto"/>
          <w:lang w:val="en-US" w:eastAsia="zh-CN" w:bidi="ar-SA"/>
        </w:rPr>
        <w:t>万元，增长</w:t>
      </w:r>
      <w:r>
        <w:rPr>
          <w:rFonts w:hint="eastAsia" w:ascii="Times New Roman" w:hAnsi="Times New Roman" w:eastAsia="仿宋_GB2312" w:cs="Times New Roman"/>
          <w:kern w:val="0"/>
          <w:sz w:val="32"/>
          <w:szCs w:val="32"/>
          <w:shd w:val="clear" w:color="auto" w:fill="auto"/>
          <w:lang w:val="en-US" w:eastAsia="zh-CN" w:bidi="ar-SA"/>
        </w:rPr>
        <w:t>2.2</w:t>
      </w:r>
      <w:r>
        <w:rPr>
          <w:rFonts w:hint="default" w:ascii="Times New Roman" w:hAnsi="Times New Roman" w:eastAsia="仿宋_GB2312" w:cs="Times New Roman"/>
          <w:kern w:val="0"/>
          <w:sz w:val="32"/>
          <w:szCs w:val="32"/>
          <w:shd w:val="clear" w:color="auto" w:fill="auto"/>
          <w:lang w:val="en-US" w:eastAsia="zh-CN" w:bidi="ar-SA"/>
        </w:rPr>
        <w:t>2%，原因主要是机关事业单位职业年金基数调整。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8</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社会保障和就业支出（类）</w:t>
      </w:r>
      <w:r>
        <w:rPr>
          <w:rFonts w:hint="default" w:ascii="Times New Roman" w:hAnsi="Times New Roman" w:eastAsia="仿宋_GB2312" w:cs="Times New Roman"/>
          <w:kern w:val="0"/>
          <w:sz w:val="32"/>
          <w:szCs w:val="32"/>
          <w:shd w:val="clear" w:color="auto" w:fill="auto"/>
          <w:lang w:eastAsia="zh-CN"/>
        </w:rPr>
        <w:t>其他社会保障和就业支出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其他社会保障和就业支出（项）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1.85</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年增加0</w:t>
      </w:r>
      <w:r>
        <w:rPr>
          <w:rFonts w:hint="eastAsia" w:ascii="Times New Roman" w:hAnsi="Times New Roman" w:eastAsia="仿宋_GB2312" w:cs="Times New Roman"/>
          <w:kern w:val="0"/>
          <w:sz w:val="32"/>
          <w:szCs w:val="32"/>
          <w:shd w:val="clear" w:color="auto" w:fill="auto"/>
          <w:lang w:val="en-US" w:eastAsia="zh-CN" w:bidi="ar-SA"/>
        </w:rPr>
        <w:t>.04</w:t>
      </w:r>
      <w:r>
        <w:rPr>
          <w:rFonts w:hint="default" w:ascii="Times New Roman" w:hAnsi="Times New Roman" w:eastAsia="仿宋_GB2312" w:cs="Times New Roman"/>
          <w:kern w:val="0"/>
          <w:sz w:val="32"/>
          <w:szCs w:val="32"/>
          <w:shd w:val="clear" w:color="auto" w:fill="auto"/>
          <w:lang w:val="en-US" w:eastAsia="zh-CN" w:bidi="ar-SA"/>
        </w:rPr>
        <w:t>万元，增长</w:t>
      </w:r>
      <w:r>
        <w:rPr>
          <w:rFonts w:hint="eastAsia" w:ascii="Times New Roman" w:hAnsi="Times New Roman" w:eastAsia="仿宋_GB2312" w:cs="Times New Roman"/>
          <w:kern w:val="0"/>
          <w:sz w:val="32"/>
          <w:szCs w:val="32"/>
          <w:shd w:val="clear" w:color="auto" w:fill="auto"/>
          <w:lang w:val="en-US" w:eastAsia="zh-CN" w:bidi="ar-SA"/>
        </w:rPr>
        <w:t>2.48</w:t>
      </w:r>
      <w:r>
        <w:rPr>
          <w:rFonts w:hint="default" w:ascii="Times New Roman" w:hAnsi="Times New Roman" w:eastAsia="仿宋_GB2312" w:cs="Times New Roman"/>
          <w:kern w:val="0"/>
          <w:sz w:val="32"/>
          <w:szCs w:val="32"/>
          <w:shd w:val="clear" w:color="auto" w:fill="auto"/>
          <w:lang w:val="en-US" w:eastAsia="zh-CN" w:bidi="ar-SA"/>
        </w:rPr>
        <w:t>%，原因主要是</w:t>
      </w:r>
      <w:r>
        <w:rPr>
          <w:rFonts w:hint="eastAsia" w:ascii="Times New Roman" w:hAnsi="Times New Roman" w:eastAsia="仿宋_GB2312" w:cs="Times New Roman"/>
          <w:kern w:val="0"/>
          <w:sz w:val="32"/>
          <w:szCs w:val="32"/>
          <w:shd w:val="clear" w:color="auto" w:fill="auto"/>
          <w:lang w:val="en-US" w:eastAsia="zh-CN" w:bidi="ar-SA"/>
        </w:rPr>
        <w:t>人员变动，缴费基数调整</w:t>
      </w:r>
      <w:r>
        <w:rPr>
          <w:rFonts w:hint="default" w:ascii="Times New Roman" w:hAnsi="Times New Roman" w:eastAsia="仿宋_GB2312" w:cs="Times New Roman"/>
          <w:kern w:val="0"/>
          <w:sz w:val="32"/>
          <w:szCs w:val="32"/>
          <w:shd w:val="clear" w:color="auto" w:fill="auto"/>
          <w:lang w:val="en-US" w:eastAsia="zh-CN" w:bidi="ar-SA"/>
        </w:rPr>
        <w:t xml:space="preserve">。  </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eastAsia" w:ascii="Times New Roman" w:hAnsi="Times New Roman" w:eastAsia="仿宋_GB2312" w:cs="Times New Roman"/>
          <w:bCs/>
          <w:kern w:val="0"/>
          <w:sz w:val="32"/>
          <w:szCs w:val="32"/>
          <w:shd w:val="clear" w:color="auto" w:fill="auto"/>
          <w:lang w:val="en-US" w:eastAsia="zh-CN" w:bidi="ar-SA"/>
        </w:rPr>
        <w:t>9</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行政单位医疗（项）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50.60</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年预算减少7.12万元，下降12.33%，原因主要是人员变动，缴费基数调整。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0</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公务员医疗补助（项）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37.73</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年预算减少0.</w:t>
      </w:r>
      <w:r>
        <w:rPr>
          <w:rFonts w:hint="eastAsia" w:ascii="Times New Roman" w:hAnsi="Times New Roman" w:eastAsia="仿宋_GB2312" w:cs="Times New Roman"/>
          <w:kern w:val="0"/>
          <w:sz w:val="32"/>
          <w:szCs w:val="32"/>
          <w:shd w:val="clear" w:color="auto" w:fill="auto"/>
          <w:lang w:val="en-US" w:eastAsia="zh-CN" w:bidi="ar-SA"/>
        </w:rPr>
        <w:t>32</w:t>
      </w:r>
      <w:r>
        <w:rPr>
          <w:rFonts w:hint="default" w:ascii="Times New Roman" w:hAnsi="Times New Roman" w:eastAsia="仿宋_GB2312" w:cs="Times New Roman"/>
          <w:kern w:val="0"/>
          <w:sz w:val="32"/>
          <w:szCs w:val="32"/>
          <w:shd w:val="clear" w:color="auto" w:fill="auto"/>
          <w:lang w:val="en-US" w:eastAsia="zh-CN" w:bidi="ar-SA"/>
        </w:rPr>
        <w:t>万元，下降0.</w:t>
      </w:r>
      <w:r>
        <w:rPr>
          <w:rFonts w:hint="eastAsia" w:ascii="Times New Roman" w:hAnsi="Times New Roman" w:eastAsia="仿宋_GB2312" w:cs="Times New Roman"/>
          <w:kern w:val="0"/>
          <w:sz w:val="32"/>
          <w:szCs w:val="32"/>
          <w:shd w:val="clear" w:color="auto" w:fill="auto"/>
          <w:lang w:val="en-US" w:eastAsia="zh-CN" w:bidi="ar-SA"/>
        </w:rPr>
        <w:t>84</w:t>
      </w:r>
      <w:r>
        <w:rPr>
          <w:rFonts w:hint="default" w:ascii="Times New Roman" w:hAnsi="Times New Roman" w:eastAsia="仿宋_GB2312" w:cs="Times New Roman"/>
          <w:kern w:val="0"/>
          <w:sz w:val="32"/>
          <w:szCs w:val="32"/>
          <w:shd w:val="clear" w:color="auto" w:fill="auto"/>
          <w:lang w:val="en-US" w:eastAsia="zh-CN" w:bidi="ar-SA"/>
        </w:rPr>
        <w:t>%，原因主要是人员变动，缴费基数调整。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1</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住房公积金（项）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149</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10.81</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6.76</w:t>
      </w:r>
      <w:r>
        <w:rPr>
          <w:rFonts w:hint="default" w:ascii="Times New Roman" w:hAnsi="Times New Roman" w:eastAsia="仿宋_GB2312" w:cs="Times New Roman"/>
          <w:kern w:val="0"/>
          <w:sz w:val="32"/>
          <w:szCs w:val="32"/>
          <w:shd w:val="clear" w:color="auto" w:fill="auto"/>
          <w:lang w:val="en-US" w:eastAsia="zh-CN" w:bidi="ar-SA"/>
        </w:rPr>
        <w:t>%，原因主要是缴费基数调整。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2</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提租补贴（项）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37.25</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2.70</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6.76</w:t>
      </w:r>
      <w:r>
        <w:rPr>
          <w:rFonts w:hint="default" w:ascii="Times New Roman" w:hAnsi="Times New Roman" w:eastAsia="仿宋_GB2312" w:cs="Times New Roman"/>
          <w:kern w:val="0"/>
          <w:sz w:val="32"/>
          <w:szCs w:val="32"/>
          <w:shd w:val="clear" w:color="auto" w:fill="auto"/>
          <w:lang w:val="en-US" w:eastAsia="zh-CN" w:bidi="ar-SA"/>
        </w:rPr>
        <w:t>%，原因主要是人员变动。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w:t>
      </w:r>
      <w:r>
        <w:rPr>
          <w:rFonts w:hint="eastAsia" w:ascii="Times New Roman" w:hAnsi="Times New Roman" w:eastAsia="仿宋_GB2312" w:cs="Times New Roman"/>
          <w:bCs/>
          <w:kern w:val="0"/>
          <w:sz w:val="32"/>
          <w:szCs w:val="32"/>
          <w:shd w:val="clear" w:color="auto" w:fill="auto"/>
          <w:lang w:val="en-US" w:eastAsia="zh-CN" w:bidi="ar-SA"/>
        </w:rPr>
        <w:t>3</w:t>
      </w:r>
      <w:r>
        <w:rPr>
          <w:rFonts w:hint="default" w:ascii="Times New Roman" w:hAnsi="Times New Roman" w:eastAsia="仿宋_GB2312" w:cs="Times New Roman"/>
          <w:bCs/>
          <w:kern w:val="0"/>
          <w:sz w:val="32"/>
          <w:szCs w:val="32"/>
          <w:shd w:val="clear" w:color="auto" w:fill="auto"/>
          <w:lang w:val="en-US" w:eastAsia="zh-CN" w:bidi="ar-SA"/>
        </w:rPr>
        <w:t>.</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购房补贴（项）</w:t>
      </w:r>
      <w:r>
        <w:rPr>
          <w:rFonts w:hint="default" w:ascii="Times New Roman" w:hAnsi="Times New Roman" w:eastAsia="仿宋_GB2312" w:cs="Times New Roman"/>
          <w:kern w:val="0"/>
          <w:sz w:val="32"/>
          <w:szCs w:val="32"/>
          <w:shd w:val="clear" w:color="auto" w:fill="auto"/>
          <w:lang w:val="en-US" w:eastAsia="zh-CN" w:bidi="ar-SA"/>
        </w:rPr>
        <w:t>2025年预算</w:t>
      </w:r>
      <w:r>
        <w:rPr>
          <w:rFonts w:hint="eastAsia" w:ascii="Times New Roman" w:hAnsi="Times New Roman" w:eastAsia="仿宋_GB2312" w:cs="Times New Roman"/>
          <w:kern w:val="0"/>
          <w:sz w:val="32"/>
          <w:szCs w:val="32"/>
          <w:shd w:val="clear" w:color="auto" w:fill="auto"/>
          <w:lang w:val="en-US" w:eastAsia="zh-CN" w:bidi="ar-SA"/>
        </w:rPr>
        <w:t>62.08</w:t>
      </w:r>
      <w:r>
        <w:rPr>
          <w:rFonts w:hint="default" w:ascii="Times New Roman" w:hAnsi="Times New Roman" w:eastAsia="仿宋_GB2312" w:cs="Times New Roman"/>
          <w:kern w:val="0"/>
          <w:sz w:val="32"/>
          <w:szCs w:val="32"/>
          <w:shd w:val="clear" w:color="auto" w:fill="auto"/>
          <w:lang w:val="en-US" w:eastAsia="zh-CN" w:bidi="ar-SA"/>
        </w:rPr>
        <w:t>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w:t>
      </w:r>
      <w:r>
        <w:rPr>
          <w:rFonts w:hint="eastAsia" w:ascii="Times New Roman" w:hAnsi="Times New Roman" w:eastAsia="仿宋_GB2312" w:cs="Times New Roman"/>
          <w:kern w:val="0"/>
          <w:sz w:val="32"/>
          <w:szCs w:val="32"/>
          <w:shd w:val="clear" w:color="auto" w:fill="auto"/>
          <w:lang w:val="en-US" w:eastAsia="zh-CN" w:bidi="ar-SA"/>
        </w:rPr>
        <w:t>4.50</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6.76</w:t>
      </w:r>
      <w:r>
        <w:rPr>
          <w:rFonts w:hint="default" w:ascii="Times New Roman" w:hAnsi="Times New Roman" w:eastAsia="仿宋_GB2312" w:cs="Times New Roman"/>
          <w:kern w:val="0"/>
          <w:sz w:val="32"/>
          <w:szCs w:val="32"/>
          <w:shd w:val="clear" w:color="auto" w:fill="auto"/>
          <w:lang w:val="en-US" w:eastAsia="zh-CN" w:bidi="ar-SA"/>
        </w:rPr>
        <w:t>%，原因</w:t>
      </w:r>
      <w:r>
        <w:rPr>
          <w:rFonts w:hint="default" w:ascii="Times New Roman" w:hAnsi="Times New Roman" w:eastAsia="仿宋_GB2312" w:cs="Times New Roman"/>
          <w:kern w:val="0"/>
          <w:sz w:val="32"/>
          <w:szCs w:val="32"/>
          <w:highlight w:val="none"/>
          <w:shd w:val="clear" w:color="auto" w:fill="auto"/>
          <w:lang w:val="en-US" w:eastAsia="zh-CN" w:bidi="ar-SA"/>
        </w:rPr>
        <w:t>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highlight w:val="none"/>
          <w:shd w:val="clear" w:color="auto" w:fill="auto"/>
          <w:lang w:val="en-US" w:eastAsia="zh-CN" w:bidi="ar-SA"/>
        </w:rPr>
        <w:t>1</w:t>
      </w:r>
      <w:r>
        <w:rPr>
          <w:rFonts w:hint="eastAsia" w:ascii="Times New Roman" w:hAnsi="Times New Roman" w:eastAsia="仿宋_GB2312" w:cs="Times New Roman"/>
          <w:bCs/>
          <w:kern w:val="0"/>
          <w:sz w:val="32"/>
          <w:szCs w:val="32"/>
          <w:highlight w:val="none"/>
          <w:shd w:val="clear" w:color="auto" w:fill="auto"/>
          <w:lang w:val="en-US" w:eastAsia="zh-CN" w:bidi="ar-SA"/>
        </w:rPr>
        <w:t>4</w:t>
      </w:r>
      <w:r>
        <w:rPr>
          <w:rFonts w:hint="default" w:ascii="Times New Roman" w:hAnsi="Times New Roman" w:eastAsia="仿宋_GB2312" w:cs="Times New Roman"/>
          <w:bCs/>
          <w:kern w:val="0"/>
          <w:sz w:val="32"/>
          <w:szCs w:val="32"/>
          <w:highlight w:val="none"/>
          <w:shd w:val="clear" w:color="auto" w:fill="auto"/>
          <w:lang w:val="en-US" w:eastAsia="zh-CN" w:bidi="ar-SA"/>
        </w:rPr>
        <w:t>.</w:t>
      </w:r>
      <w:r>
        <w:rPr>
          <w:rFonts w:hint="default" w:ascii="Times New Roman" w:hAnsi="Times New Roman" w:eastAsia="仿宋_GB2312" w:cs="Times New Roman"/>
          <w:kern w:val="0"/>
          <w:sz w:val="32"/>
          <w:szCs w:val="32"/>
          <w:highlight w:val="none"/>
          <w:shd w:val="clear" w:color="auto" w:fill="auto"/>
          <w:lang w:eastAsia="zh-CN"/>
        </w:rPr>
        <w:t>粮油物资储备支出</w:t>
      </w:r>
      <w:r>
        <w:rPr>
          <w:rFonts w:hint="default" w:ascii="Times New Roman" w:hAnsi="Times New Roman" w:eastAsia="仿宋_GB2312" w:cs="Times New Roman"/>
          <w:kern w:val="0"/>
          <w:sz w:val="32"/>
          <w:szCs w:val="32"/>
          <w:highlight w:val="none"/>
          <w:shd w:val="clear" w:color="auto" w:fill="auto"/>
        </w:rPr>
        <w:t>（类）</w:t>
      </w:r>
      <w:r>
        <w:rPr>
          <w:rFonts w:hint="default" w:ascii="Times New Roman" w:hAnsi="Times New Roman" w:eastAsia="仿宋_GB2312" w:cs="Times New Roman"/>
          <w:kern w:val="0"/>
          <w:sz w:val="32"/>
          <w:szCs w:val="32"/>
          <w:highlight w:val="none"/>
          <w:shd w:val="clear" w:color="auto" w:fill="auto"/>
          <w:lang w:eastAsia="zh-CN"/>
        </w:rPr>
        <w:t>粮油物资事务</w:t>
      </w:r>
      <w:r>
        <w:rPr>
          <w:rFonts w:hint="default" w:ascii="Times New Roman" w:hAnsi="Times New Roman" w:eastAsia="仿宋_GB2312" w:cs="Times New Roman"/>
          <w:kern w:val="0"/>
          <w:sz w:val="32"/>
          <w:szCs w:val="32"/>
          <w:highlight w:val="none"/>
          <w:shd w:val="clear" w:color="auto" w:fill="auto"/>
        </w:rPr>
        <w:t>（款）</w:t>
      </w:r>
      <w:r>
        <w:rPr>
          <w:rFonts w:hint="default" w:ascii="Times New Roman" w:hAnsi="Times New Roman" w:eastAsia="仿宋_GB2312" w:cs="Times New Roman"/>
          <w:kern w:val="0"/>
          <w:sz w:val="32"/>
          <w:szCs w:val="32"/>
          <w:highlight w:val="none"/>
          <w:shd w:val="clear" w:color="auto" w:fill="auto"/>
          <w:lang w:eastAsia="zh-CN"/>
        </w:rPr>
        <w:t>其他粮油物资事务支出</w:t>
      </w:r>
      <w:r>
        <w:rPr>
          <w:rFonts w:hint="default" w:ascii="Times New Roman" w:hAnsi="Times New Roman" w:eastAsia="仿宋_GB2312" w:cs="Times New Roman"/>
          <w:kern w:val="0"/>
          <w:sz w:val="32"/>
          <w:szCs w:val="32"/>
          <w:highlight w:val="none"/>
          <w:shd w:val="clear" w:color="auto" w:fill="auto"/>
        </w:rPr>
        <w:t>（项）</w:t>
      </w:r>
      <w:r>
        <w:rPr>
          <w:rFonts w:hint="default" w:ascii="Times New Roman" w:hAnsi="Times New Roman" w:eastAsia="仿宋_GB2312" w:cs="Times New Roman"/>
          <w:kern w:val="0"/>
          <w:sz w:val="32"/>
          <w:szCs w:val="32"/>
          <w:highlight w:val="none"/>
          <w:shd w:val="clear" w:color="auto" w:fill="auto"/>
          <w:lang w:val="en-US" w:eastAsia="zh-CN" w:bidi="ar-SA"/>
        </w:rPr>
        <w:t>2025年预算841.35万元，比2024年预算</w:t>
      </w:r>
      <w:r>
        <w:rPr>
          <w:rFonts w:hint="default" w:ascii="Times New Roman" w:hAnsi="Times New Roman" w:eastAsia="仿宋_GB2312" w:cs="Times New Roman"/>
          <w:kern w:val="0"/>
          <w:sz w:val="32"/>
          <w:szCs w:val="32"/>
          <w:shd w:val="clear" w:color="auto" w:fill="auto"/>
          <w:lang w:val="en-US" w:eastAsia="zh-CN" w:bidi="ar-SA"/>
        </w:rPr>
        <w:t>减少</w:t>
      </w:r>
      <w:r>
        <w:rPr>
          <w:rFonts w:hint="eastAsia" w:ascii="Times New Roman" w:hAnsi="Times New Roman" w:eastAsia="仿宋_GB2312" w:cs="Times New Roman"/>
          <w:kern w:val="0"/>
          <w:sz w:val="32"/>
          <w:szCs w:val="32"/>
          <w:shd w:val="clear" w:color="auto" w:fill="auto"/>
          <w:lang w:val="en-US" w:eastAsia="zh-CN" w:bidi="ar-SA"/>
        </w:rPr>
        <w:t>92.65</w:t>
      </w:r>
      <w:r>
        <w:rPr>
          <w:rFonts w:hint="default" w:ascii="Times New Roman" w:hAnsi="Times New Roman" w:eastAsia="仿宋_GB2312" w:cs="Times New Roman"/>
          <w:kern w:val="0"/>
          <w:sz w:val="32"/>
          <w:szCs w:val="32"/>
          <w:shd w:val="clear" w:color="auto" w:fill="auto"/>
          <w:lang w:val="en-US" w:eastAsia="zh-CN" w:bidi="ar-SA"/>
        </w:rPr>
        <w:t>万元，下降</w:t>
      </w:r>
      <w:r>
        <w:rPr>
          <w:rFonts w:hint="eastAsia" w:ascii="Times New Roman" w:hAnsi="Times New Roman" w:eastAsia="仿宋_GB2312" w:cs="Times New Roman"/>
          <w:kern w:val="0"/>
          <w:sz w:val="32"/>
          <w:szCs w:val="32"/>
          <w:shd w:val="clear" w:color="auto" w:fill="auto"/>
          <w:lang w:val="en-US" w:eastAsia="zh-CN" w:bidi="ar-SA"/>
        </w:rPr>
        <w:t>9.92</w:t>
      </w:r>
      <w:r>
        <w:rPr>
          <w:rFonts w:hint="default" w:ascii="Times New Roman" w:hAnsi="Times New Roman" w:eastAsia="仿宋_GB2312" w:cs="Times New Roman"/>
          <w:kern w:val="0"/>
          <w:sz w:val="32"/>
          <w:szCs w:val="32"/>
          <w:shd w:val="clear" w:color="auto" w:fill="auto"/>
          <w:lang w:val="en-US" w:eastAsia="zh-CN" w:bidi="ar-SA"/>
        </w:rPr>
        <w:t>%</w:t>
      </w:r>
      <w:r>
        <w:rPr>
          <w:rFonts w:hint="default" w:ascii="Times New Roman" w:hAnsi="Times New Roman" w:eastAsia="仿宋_GB2312" w:cs="Times New Roman"/>
          <w:kern w:val="0"/>
          <w:sz w:val="32"/>
          <w:szCs w:val="32"/>
          <w:highlight w:val="none"/>
          <w:shd w:val="clear" w:color="auto" w:fill="auto"/>
          <w:lang w:val="en-US" w:eastAsia="zh-CN" w:bidi="ar-SA"/>
        </w:rPr>
        <w:t>，原因主要是储备粮、油保管轮换费用及利息补贴</w:t>
      </w:r>
      <w:r>
        <w:rPr>
          <w:rFonts w:hint="eastAsia" w:ascii="Times New Roman" w:hAnsi="Times New Roman" w:eastAsia="仿宋_GB2312" w:cs="Times New Roman"/>
          <w:kern w:val="0"/>
          <w:sz w:val="32"/>
          <w:szCs w:val="32"/>
          <w:highlight w:val="none"/>
          <w:shd w:val="clear" w:color="auto" w:fill="auto"/>
          <w:lang w:val="en-US" w:eastAsia="zh-CN" w:bidi="ar-SA"/>
        </w:rPr>
        <w:t>等</w:t>
      </w:r>
      <w:r>
        <w:rPr>
          <w:rFonts w:hint="default" w:ascii="Times New Roman" w:hAnsi="Times New Roman" w:eastAsia="仿宋_GB2312" w:cs="Times New Roman"/>
          <w:kern w:val="0"/>
          <w:sz w:val="32"/>
          <w:szCs w:val="32"/>
          <w:highlight w:val="none"/>
          <w:shd w:val="clear" w:color="auto" w:fill="auto"/>
          <w:lang w:val="en-US" w:eastAsia="zh-CN" w:bidi="ar-SA"/>
        </w:rPr>
        <w:t>项目金额减少。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pPr>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2025年一般公共预算基本</w:t>
      </w:r>
      <w:r>
        <w:rPr>
          <w:rFonts w:hint="default" w:ascii="Times New Roman" w:hAnsi="Times New Roman" w:eastAsia="仿宋_GB2312" w:cs="Times New Roman"/>
          <w:kern w:val="0"/>
          <w:sz w:val="32"/>
          <w:szCs w:val="32"/>
          <w:lang w:eastAsia="zh-CN"/>
        </w:rPr>
        <w:t>支出</w:t>
      </w:r>
      <w:r>
        <w:rPr>
          <w:rFonts w:hint="eastAsia" w:ascii="Times New Roman" w:hAnsi="Times New Roman" w:eastAsia="仿宋_GB2312" w:cs="Times New Roman"/>
          <w:kern w:val="0"/>
          <w:sz w:val="32"/>
          <w:szCs w:val="32"/>
          <w:lang w:val="en-US" w:eastAsia="zh-CN"/>
        </w:rPr>
        <w:t>2223.83</w:t>
      </w:r>
      <w:r>
        <w:rPr>
          <w:rFonts w:hint="default" w:ascii="Times New Roman" w:hAnsi="Times New Roman" w:eastAsia="仿宋_GB2312" w:cs="Times New Roman"/>
          <w:kern w:val="0"/>
          <w:sz w:val="32"/>
          <w:szCs w:val="32"/>
        </w:rPr>
        <w:t>万元，其中，人员经费</w:t>
      </w:r>
      <w:r>
        <w:rPr>
          <w:rFonts w:hint="eastAsia" w:ascii="Times New Roman" w:hAnsi="Times New Roman" w:eastAsia="仿宋_GB2312" w:cs="Times New Roman"/>
          <w:kern w:val="0"/>
          <w:sz w:val="32"/>
          <w:szCs w:val="32"/>
          <w:lang w:val="en-US" w:eastAsia="zh-CN"/>
        </w:rPr>
        <w:t>2022.85</w:t>
      </w:r>
      <w:r>
        <w:rPr>
          <w:rFonts w:hint="default" w:ascii="Times New Roman" w:hAnsi="Times New Roman" w:eastAsia="仿宋_GB2312" w:cs="Times New Roman"/>
          <w:kern w:val="0"/>
          <w:sz w:val="32"/>
          <w:szCs w:val="32"/>
        </w:rPr>
        <w:t>万元，公用经费</w:t>
      </w:r>
      <w:r>
        <w:rPr>
          <w:rFonts w:hint="eastAsia" w:ascii="Times New Roman" w:hAnsi="Times New Roman" w:eastAsia="仿宋_GB2312" w:cs="Times New Roman"/>
          <w:kern w:val="0"/>
          <w:sz w:val="32"/>
          <w:szCs w:val="32"/>
          <w:lang w:val="en-US" w:eastAsia="zh-CN"/>
        </w:rPr>
        <w:t>200.98</w:t>
      </w:r>
      <w:r>
        <w:rPr>
          <w:rFonts w:hint="default" w:ascii="Times New Roman" w:hAnsi="Times New Roman" w:eastAsia="仿宋_GB2312" w:cs="Times New Roman"/>
          <w:kern w:val="0"/>
          <w:sz w:val="32"/>
          <w:szCs w:val="32"/>
        </w:rPr>
        <w:t>万元。</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eastAsia" w:ascii="Times New Roman" w:hAnsi="Times New Roman" w:eastAsia="仿宋_GB2312" w:cs="Times New Roman"/>
          <w:b/>
          <w:kern w:val="0"/>
          <w:sz w:val="32"/>
          <w:szCs w:val="32"/>
          <w:lang w:val="en-US" w:eastAsia="zh-CN"/>
        </w:rPr>
        <w:t>2022.85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eastAsia" w:ascii="Times New Roman" w:hAnsi="Times New Roman" w:eastAsia="仿宋_GB2312" w:cs="Times New Roman"/>
          <w:b/>
          <w:kern w:val="0"/>
          <w:sz w:val="32"/>
          <w:szCs w:val="32"/>
          <w:lang w:val="en-US" w:eastAsia="zh-CN"/>
        </w:rPr>
        <w:t>200.98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主要包括：办公费、印刷费、水费、电费、邮电费、物业管理费、差旅费、维修（护）费、会议费、培训费、公务接待费、劳务费、委托业务费、其他交通费用、其他商品服务支出等。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淮北市发展和改革委员会2025年没有政府性基金预算拨款收入，也没有使用政府性基金预算拨款安排的支出。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淮北市发展和改革委员会2025年没有国有资本经营预算拨款收入，也没有使用国有资本经营预算拨款安排的支出。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淮北市发展和改革委员会2025年预算共安排项目支出</w:t>
      </w:r>
      <w:r>
        <w:rPr>
          <w:rFonts w:hint="eastAsia" w:ascii="Times New Roman" w:hAnsi="Times New Roman" w:eastAsia="仿宋_GB2312" w:cs="Times New Roman"/>
          <w:kern w:val="0"/>
          <w:sz w:val="32"/>
          <w:szCs w:val="32"/>
          <w:lang w:val="en-US" w:eastAsia="zh-CN"/>
        </w:rPr>
        <w:t>2688.06</w:t>
      </w:r>
      <w:r>
        <w:rPr>
          <w:rFonts w:hint="default" w:ascii="Times New Roman" w:hAnsi="Times New Roman" w:eastAsia="仿宋_GB2312" w:cs="Times New Roman"/>
          <w:kern w:val="0"/>
          <w:sz w:val="32"/>
          <w:szCs w:val="32"/>
        </w:rPr>
        <w:t>万元，比2024年预算增加</w:t>
      </w:r>
      <w:r>
        <w:rPr>
          <w:rFonts w:hint="eastAsia" w:ascii="Times New Roman" w:hAnsi="Times New Roman" w:eastAsia="仿宋_GB2312" w:cs="Times New Roman"/>
          <w:kern w:val="0"/>
          <w:sz w:val="32"/>
          <w:szCs w:val="32"/>
          <w:lang w:val="en-US" w:eastAsia="zh-CN"/>
        </w:rPr>
        <w:t>656.06</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32.29</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援藏工作经费等项目金额增加</w:t>
      </w:r>
      <w:r>
        <w:rPr>
          <w:rFonts w:hint="default" w:ascii="Times New Roman" w:hAnsi="Times New Roman" w:eastAsia="仿宋_GB2312" w:cs="Times New Roman"/>
          <w:kern w:val="0"/>
          <w:sz w:val="32"/>
          <w:szCs w:val="32"/>
        </w:rPr>
        <w:t>。主要包括：本年财政拨款安排</w:t>
      </w:r>
      <w:r>
        <w:rPr>
          <w:rFonts w:hint="eastAsia" w:ascii="Times New Roman" w:hAnsi="Times New Roman" w:eastAsia="仿宋_GB2312" w:cs="Times New Roman"/>
          <w:kern w:val="0"/>
          <w:sz w:val="32"/>
          <w:szCs w:val="32"/>
          <w:lang w:val="en-US" w:eastAsia="zh-CN"/>
        </w:rPr>
        <w:t>2688.06</w:t>
      </w:r>
      <w:r>
        <w:rPr>
          <w:rFonts w:hint="default" w:ascii="Times New Roman" w:hAnsi="Times New Roman" w:eastAsia="仿宋_GB2312" w:cs="Times New Roman"/>
          <w:kern w:val="0"/>
          <w:sz w:val="32"/>
          <w:szCs w:val="32"/>
        </w:rPr>
        <w:t>万元（其中，一般公共预算拨款安排</w:t>
      </w:r>
      <w:r>
        <w:rPr>
          <w:rFonts w:hint="eastAsia" w:ascii="Times New Roman" w:hAnsi="Times New Roman" w:eastAsia="仿宋_GB2312" w:cs="Times New Roman"/>
          <w:kern w:val="0"/>
          <w:sz w:val="32"/>
          <w:szCs w:val="32"/>
          <w:lang w:val="en-US" w:eastAsia="zh-CN"/>
        </w:rPr>
        <w:t>2688.06</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淮北市发展和改革委员会2025年预算安排政府采购支出</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救灾物资经费增加等</w:t>
      </w:r>
      <w:r>
        <w:rPr>
          <w:rFonts w:hint="default" w:ascii="Times New Roman" w:hAnsi="Times New Roman" w:eastAsia="仿宋_GB2312" w:cs="Times New Roman"/>
          <w:kern w:val="0"/>
          <w:sz w:val="32"/>
          <w:szCs w:val="32"/>
        </w:rPr>
        <w:t>。其中，一般公共预算安排</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%；政府性基金预算安排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淮北市发展和改革委员会2025年没有安排政府购买服务支出。</w:t>
      </w:r>
    </w:p>
    <w:p>
      <w:pPr>
        <w:pStyle w:val="6"/>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十二、关于2025年通用资产配置支出表的说明</w:t>
      </w:r>
    </w:p>
    <w:p>
      <w:pPr>
        <w:pStyle w:val="6"/>
        <w:adjustRightInd w:val="0"/>
        <w:snapToGrid w:val="0"/>
        <w:spacing w:line="560" w:lineRule="exact"/>
        <w:ind w:firstLine="640" w:firstLineChars="200"/>
        <w:outlineLvl w:val="0"/>
        <w:rPr>
          <w:rFonts w:hint="default" w:ascii="Times New Roman" w:hAnsi="Times New Roman" w:cs="Times New Roman"/>
        </w:rPr>
      </w:pPr>
      <w:r>
        <w:rPr>
          <w:rFonts w:hint="default" w:ascii="Times New Roman" w:hAnsi="Times New Roman" w:eastAsia="仿宋_GB2312" w:cs="Times New Roman"/>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sz w:val="32"/>
          <w:szCs w:val="32"/>
        </w:rPr>
        <w:t>2025年没有安排通用资产配置支出。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、其他重要事项情况说明</w:t>
      </w:r>
    </w:p>
    <w:p>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（1）项目概述。保障全市发展改革工作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、全市粮食和物资储备工作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、项目评估费、淮北市2025年度资源枯竭城市转型绩效评价自评报告等考核项目以及规划编制等日常办公所需经费。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（2）立项依据。淮政办[2010]81号文件规定、淮政办</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2015</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15号文件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淮粮财[2014]39号财政批复; 安徽省粮食局关于下达粮食质量安全监测分解目标任务的通知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皖粮仓函[2017]85号</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国办发[2018]61号文; 国家发改委、国家粮食局、国家统计局《关于切实加强粮食统计工作的通知》（国粮调[2004]19号）;《安徽省人民政府关于落实粮食安全省长责任制的实施意见》（皖政[2015]64号</w:t>
      </w:r>
      <w:r>
        <w:rPr>
          <w:rFonts w:hint="default" w:ascii="Times New Roman" w:hAnsi="Times New Roman" w:eastAsia="仿宋_GB2312" w:cs="Times New Roman"/>
          <w:kern w:val="0"/>
          <w:sz w:val="32"/>
          <w:szCs w:val="32"/>
          <w:lang w:val="en-US" w:eastAsia="zh-CN"/>
        </w:rPr>
        <w:t>)等。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保障全市发展改革工作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全市粮食和物资储备工作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rPr>
        <w:t>履行粮食行政执法职能; 淮北市粮食局承担粮食质量安全监测任务; 履行全国粮食库存数量和质量大清查; 粮食行政主管部门严格执行国家粮食统计制度，做好粮食定期统计、社会粮食供需平衡调查、粮食供求监测工作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淮北市2025年度资源枯竭城市转型绩效评价自评报告等考核项目以及规划编制</w:t>
      </w:r>
      <w:r>
        <w:rPr>
          <w:rFonts w:hint="default" w:ascii="Times New Roman" w:hAnsi="Times New Roman" w:eastAsia="仿宋_GB2312" w:cs="Times New Roman"/>
          <w:color w:val="auto"/>
          <w:sz w:val="32"/>
          <w:szCs w:val="32"/>
          <w:lang w:eastAsia="zh-CN"/>
        </w:rPr>
        <w:t>；保障发改工作</w:t>
      </w:r>
      <w:r>
        <w:rPr>
          <w:rFonts w:hint="default" w:ascii="Times New Roman" w:hAnsi="Times New Roman" w:eastAsia="仿宋_GB2312" w:cs="Times New Roman"/>
          <w:color w:val="auto"/>
          <w:sz w:val="32"/>
          <w:szCs w:val="32"/>
        </w:rPr>
        <w:t>日常办公所需</w:t>
      </w:r>
      <w:r>
        <w:rPr>
          <w:rFonts w:hint="default" w:ascii="Times New Roman" w:hAnsi="Times New Roman"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经费，保障单位及时开展各项业务，使资金可以正常合理支付</w:t>
      </w:r>
      <w:r>
        <w:rPr>
          <w:rFonts w:hint="default" w:ascii="Times New Roman" w:hAnsi="Times New Roman" w:eastAsia="仿宋_GB2312" w:cs="Times New Roman"/>
          <w:color w:val="auto"/>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176万元</w:t>
      </w:r>
    </w:p>
    <w:p>
      <w:pPr>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7）绩效目标。维持正常办公、保障全市粮食和物资储备工作、全年实现生产总值、固定资产投资等指标同比均实现增长，居民消费价格同比下降；.推动经济转型升级、新旧动能转换加速、推进区域城乡统筹发展、优化营商环境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办公大楼运行经费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根据淮北市政府市长办公会议纪要第10号文件</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43.</w:t>
      </w:r>
      <w:r>
        <w:rPr>
          <w:rFonts w:hint="eastAsia" w:ascii="Times New Roman" w:hAnsi="Times New Roman" w:eastAsia="仿宋_GB2312" w:cs="Times New Roman"/>
          <w:kern w:val="0"/>
          <w:sz w:val="32"/>
          <w:szCs w:val="32"/>
          <w:lang w:val="en-US" w:eastAsia="zh-CN"/>
        </w:rPr>
        <w:t>47</w:t>
      </w:r>
      <w:r>
        <w:rPr>
          <w:rFonts w:hint="default" w:ascii="Times New Roman" w:hAnsi="Times New Roman" w:eastAsia="仿宋_GB2312" w:cs="Times New Roman"/>
          <w:kern w:val="0"/>
          <w:sz w:val="32"/>
          <w:szCs w:val="32"/>
          <w:lang w:val="en-US" w:eastAsia="zh-CN"/>
        </w:rPr>
        <w:t>万元。</w:t>
      </w:r>
      <w:bookmarkStart w:id="0" w:name="_GoBack"/>
      <w:bookmarkEnd w:id="0"/>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（7）绩效目标。物业管理费用、环境卫生管理、绿化养护及水电费用保障到位</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粮食质量监测费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（1）项目概述。“主食厨房”、“放心粮油”、“智慧皖粮”信息化系统设备、数据质量进行维护；开展全市粮食质量监管和监测工作；按照上级要求开展全市粮食质量安全风险监测工作。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（2）立项依据。《粮食质量安全风险监测管理暂行办法</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关于印发2023年安徽省粮食质量安全风险监测方案的通知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关于分解落实2023年度粮食产业化和粮食质量安全监测目标的通知》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皖粮仓函〔2023〕104号</w:t>
      </w:r>
      <w:r>
        <w:rPr>
          <w:rFonts w:hint="eastAsia"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Style w:val="1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对</w:t>
      </w:r>
      <w:r>
        <w:rPr>
          <w:rFonts w:hint="default" w:ascii="Times New Roman" w:hAnsi="Times New Roman" w:eastAsia="仿宋_GB2312" w:cs="Times New Roman"/>
          <w:kern w:val="0"/>
          <w:sz w:val="32"/>
          <w:szCs w:val="32"/>
        </w:rPr>
        <w:t>“主食厨房”、“放心粮油”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rPr>
        <w:t>“智慧皖粮”信息化系统设备、数据质量进行维护</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按照上级要求开展全市粮食质量安全风险监测工作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kern w:val="0"/>
          <w:sz w:val="32"/>
          <w:szCs w:val="32"/>
        </w:rPr>
        <w:t>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44.71万元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（7）绩效目标。“智慧皖粮”信息化系统稳定运行、完成省里规定的粮食质量检验监测目标、完成省里下达的粮食质量风险安全监测任务。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民生工程管理费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（1）项目概述。全市民生工程目标管理绩效考核奖励</w:t>
      </w:r>
      <w:r>
        <w:rPr>
          <w:rFonts w:hint="default" w:ascii="Times New Roman" w:hAnsi="Times New Roman" w:eastAsia="仿宋_GB2312" w:cs="Times New Roman"/>
          <w:kern w:val="0"/>
          <w:sz w:val="32"/>
          <w:szCs w:val="32"/>
          <w:lang w:eastAsia="zh-CN"/>
        </w:rPr>
        <w:t>以及民生</w:t>
      </w:r>
      <w:r>
        <w:rPr>
          <w:rFonts w:hint="default" w:ascii="Times New Roman" w:hAnsi="Times New Roman" w:eastAsia="仿宋_GB2312" w:cs="Times New Roman"/>
          <w:kern w:val="0"/>
          <w:sz w:val="32"/>
          <w:szCs w:val="32"/>
        </w:rPr>
        <w:t>宣传、差旅、印刷、考核评价、系统运维等费用</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（2）立项依据。参照安徽省2024年民生实事考核评分细则 、市民生工作领导小组办公室《 淮北市民生工程工作考核评价办法（试行）》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持续做好2025年民生工程工作,根据考核结果，对承担50项民生实事的县区开展目标管理绩效考核，依据考核结果进行奖惩并兑现目标考核资金。另包含民生宣传、差旅、印刷、考核评价、系统运维等费用。通过群众喜闻乐见的方式将暖民心行动各项惠民政策、工作成果及时向群众宣传，切实提高群众知晓率和满意度；加强与省民生办沟通协调，及时了解暖民心行动最新工作动态；开展民生工程督查检查，及时发现问题和不足，补齐短板弱项，进一步提升民生工程实施效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120.06万元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援藏工作经费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（1）项目概述。选派援藏干部赴西藏工作是深入贯彻党的治藏方略以及第七次西藏工作座谈会精神、落实省委、省政府对口援藏相关工作部署的重要举措。</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（2）立项依据。中共措美县委员会、措美县人民政府《关于请求解决援藏项目资金的报告》（措委〔2022〕52号）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根据2022年12月3日安徽省第八批援藏工作队与市委、市政府座谈会精神，以及中共措美县委员会、措美县人民政府《关于请求解决援藏项目资金的报告》（措委〔2022〕52号）要求，省第八批援藏措美县工作组援藏期间将实施措美县哲古镇哲古社区皖韵街及安置房建设、县城区道路（淮北路）及基础设施建设、安徽省小康示范村改造提升、交流交往交融、产业扶持及民生5个项目，</w:t>
      </w:r>
      <w:r>
        <w:rPr>
          <w:rFonts w:hint="default" w:ascii="Times New Roman" w:hAnsi="Times New Roman" w:eastAsia="仿宋_GB2312" w:cs="Times New Roman"/>
          <w:kern w:val="0"/>
          <w:sz w:val="32"/>
          <w:szCs w:val="32"/>
          <w:lang w:eastAsia="zh-CN"/>
        </w:rPr>
        <w:t>根据需要</w:t>
      </w:r>
      <w:r>
        <w:rPr>
          <w:rFonts w:hint="default" w:ascii="Times New Roman" w:hAnsi="Times New Roman" w:eastAsia="仿宋_GB2312" w:cs="Times New Roman"/>
          <w:kern w:val="0"/>
          <w:sz w:val="32"/>
          <w:szCs w:val="32"/>
        </w:rPr>
        <w:t>解决措美县援藏项目资金</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1005万元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（7）绩效目标。加大援藏工作力度，加快项目实施落地，推进项目取得实效。促进汉藏民族交往交流交融,铸牢中华民族共同体意识</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淮北市综合金融服务平台</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（1）项目概述。淮北市综合金融服务平台项目建设主要包括软件开发、系统实施和软件测评及安全三级等保等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2）立项依据。《关于印发淮北市2021年度市本级政府投资项目指导计划（调整稿）的通知》（淮发改投资〔2021〕412号）《淮北市人民政府办公室关于印发2022年政府网站及政务新媒体工作要点的通知》（淮政办秘〔2022〕24号） </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内容分为2个服务门户、4个管理平台、6个金融科技服务、银企智能撮合和税融通创新服务2大应用、金融服务数据库。按照省市综合金融服务平台一体化建设运行推进会安排，市级平台完成与省综合金融服务平台一体化建设运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24.20万元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淮北市综合金融服务平台依托政府数据中心，以中小微企业金融服务事项的一体化办理为核心，依托大数据、云计算等先进技术，通过整合政府扶持政策、公共信用信息、企业金融需求、金融服务产品等各类资源，建立“一张网”覆盖全市中小微企业、“一键式”实现融资供需对接、“一站式”提升综合金融服务、“一次性”查询企业政务信息、“360度”提供贷后风险预警的五维金融服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长江三角洲城市经济协调会会费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长三角洲城市经济协调会是1997年长三角区域城市发起成立的由各市市长或分管副市长参加的会议组织。会议每年举行一次，主要任务是根据长三角地区主要领导人座谈会精神，推进长三角区域一体化发展。2019年6月12日我市向长三角洲城市经济协调会办公室正式发函提交申请。2019年7月，城市经济协调会在芜湖举行，吸纳我市加入长三角洲城市经济协调会，成为会员城市每年须缴纳会费10万元。</w:t>
      </w:r>
    </w:p>
    <w:p>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rPr>
        <w:t>长江三角洲城市经济协调会章程</w:t>
      </w:r>
      <w:r>
        <w:rPr>
          <w:rFonts w:hint="default" w:ascii="Times New Roman" w:hAnsi="Times New Roman" w:eastAsia="仿宋_GB2312" w:cs="Times New Roman"/>
          <w:sz w:val="32"/>
          <w:lang w:eastAsia="zh-CN"/>
        </w:rPr>
        <w:t>、长江三角洲城市经济协调会办公室《关于缴纳长三角城市经济协调会2025年度会费的通知》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（7）绩效目标。参加2024年度长三角洲城市经济协调会，深度融入长三角一体化发展。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救灾物资经费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rPr>
        <w:t>为了提高救灾应急能力，用于保障受灾人员基本生活，以及省级救灾物资储备、调拨，进一步提高我市应对自然灾害的物资保障能力，进行物资储备及管理。</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根据《淮北市市级救灾物资调用管理暂行办法》（淮应急[2019]76号）文件；《加强战略和应急物资储备的任务分解》（文件涉密）和《淮北市减灾救灾委员会办公室关于印发2024年救灾物资储备计划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178.08万元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（7）绩效目标。建立健全救灾物资保障体系，确保救灾物资储备品种齐全、供应及时，切实保障受灾群众基本生活，维护社会稳定。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固投及节能业务经费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（1）项目概述。固定资产投资及节能项目审查评审费、公共机构节能经费、节能监察业务经费</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（2）立项依据。固定资产投资项目节能审查办法、安徽省固定资产投资项目节能审查实施办法、安徽区域能评暂行办法；根据《中华人民共和国节约能源法》《节能监察办法》。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ageBreakBefore w:val="0"/>
        <w:kinsoku/>
        <w:wordWrap/>
        <w:overflowPunct/>
        <w:topLinePunct w:val="0"/>
        <w:bidi w:val="0"/>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加强固定资产投资项目节能管理，促进科学合理利用能源，从源头上杜绝能源浪费，提高能源利用效率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根据《中华人民共和国节约能源法》和《国务院关于加强节能工作的决定》，进行</w:t>
      </w:r>
      <w:r>
        <w:rPr>
          <w:rStyle w:val="8"/>
          <w:rFonts w:hint="default" w:ascii="Times New Roman" w:hAnsi="Times New Roman" w:eastAsia="仿宋_GB2312" w:cs="Times New Roman"/>
          <w:b w:val="0"/>
          <w:color w:val="auto"/>
          <w:sz w:val="32"/>
          <w:szCs w:val="32"/>
        </w:rPr>
        <w:t>固定资产投资项目节能评估和审查</w:t>
      </w:r>
      <w:r>
        <w:rPr>
          <w:rStyle w:val="8"/>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color w:val="auto"/>
          <w:sz w:val="32"/>
        </w:rPr>
        <w:t>按照国家、省、市各级政府及公共机构节能主管部门的要求，对于全市300余家全部或者部分使用财政性资金的国家机关、事业单位和团体组织等公共机构组织实施能节约型机关创建、垃圾分类、能源资源节约宣传、督查、考核、培训、耗数据填报等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依法指导全市各县区、各行业主管部门对能源生产、经营、使用单位和其他相关单位执行节能法律、法规、规章和强制性节能标准的情况等进行监督监察检查工作，对全市范围内重点用能单位开展年度能源审计。用于节能评估、节能监察的经费。</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115.92万元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（7）绩效目标。做好市级权限内的固定资产投资项目节能审查工作，做好省级委托的固定资产投资项目节能审查工作，严控新上高耗能项目，促进科学合理利用能源</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成国家、省、市各级政府及公共机构节能主管部门的下达的年度国家机关、事业单位和团体组织等公共机构组织关于节约型机关创建、垃圾分类、反食品浪费等能源资源节约方面的宣传、督查、考核、培训、耗数据填报相关工作。 依法指导全市各县区、各行业主管部门对能源生产、经营、使用单位和其他相关单位执行节能法律、法规、规章和强制性节能标准的情况等进行监督监察检查工作，督促对发现的违法违规用能行为予以处理，并提出依法用能，合理用能建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市级储备粮油保管、轮换费用、轮换价差及利息补贴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（1）项目概述。根据淮北市市级储备粮管理办法，现有市级储备粮36200吨，成品粮3800吨、成品油1000吨。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人民政府办公厅《关于进一步做好粮油供应稳定市场价格工作的通知》（皖政密电[2008]1号）和《关于下达市县粮食储备规模计划的通知》（皖政办[2009]4号），淮北市粮食局、财政局、农发行联合下文的《关于市级政府储备粮轮换保管费用和奖励有关事项的通知》（淮发改储备[2024]14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根据淮北市市级储备粮管理办法，现有市级储备粮36200吨，成品粮3800吨、成品油1000吨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2025年市储粮小麦保管费、轮换费、利息总计655.95万元。2025年市级成品油储备费用、利息及2024年轮换价亏为88.55万元。2025年市级成品面粉储备费用及利息96.85万元。2025年市级储备粮油费用及利息总计841.35万元。</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841.35万元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平衡我市粮食市场供需、防止粮食价格出现大幅波动,维持正常粮食流通秩序，实施经济调控的专项资金，贯彻落实粮食安全省长责任制，确保粮食市场宏观调控有力，防范粮食市场重大风险，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信用体系运行费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务院办公厅关于印发统筹融资信用服务平台建设提升中小微企业融资便利水平实施方案的通知》、国家公共信用信息中心关于印发全国中小企业融资综合信用服务平台授权管理规范（2023版）的通知、国家公共信用信息中心关于优化调整《城市信用状况监测预警指标（2024年版）》部分指标项的通知、《国家发改委关于完善政府诚信履约机制优化民营经济发展环境的通知》、《中共中央国务院关于促进民营经济发展壮大的意见》、《安徽省推进社会信用体系建设高质量发展行动方案》《中共中央国务院关于促进民营经济发展壮大的意见》、《国务院关于进一步优化政务服务提升行政效能推动“高效办成一件事”的指导意见》、《安徽省社会信用体系建设联席会议办公室关于印发安徽省 2024 年社会信用体系建设工作要点的通知》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104.84万元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持续优化营商环境工作；做好城市信用状况监测，巩固淮北市在全国城市信用监测排名；做好信用全省目标管理绩效考核工作；全面做好信用示范市复评工作。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价格监测惠民经费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（1）项目概述。“民生实事惠民菜篮子”项目</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对国务院和省人民政府确定的重要商品、服务价格和成本的变动进行跟踪、采集、分析和公布，为政府宏观调控提供依据，保障市场物价稳定。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价格监测预警管理办法；《安徽省民生工作领导小组关于2023年实施50项民生实事的通知》、《安徽省发改委关于”惠民菜篮子“提升行动方案》、《淮北市“惠民菜篮子”运营实施方案》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全市已建立国家省市价格监测点80个，对国务院和省人民政府确定的重要商品、服务价格和成本的变动进行跟踪、采集、分析和公布，为政府宏观调控提供依据，保障市场物价稳定。我市已建立惠民菜篮子25家门店：其中家家悦超市17家，大润发2家，佳和超市5家,优乐多1家，重大节日期间（春节、五一、国庆等）重大节日期间启动25家惠民菜篮子门店为期约60天，平价销售农副产品不低于20个品种，其中蔬菜不低于15个品种低于市场价15%,粮油肉禽蛋低于市场价5%，保障民生，稳定市场物价。</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24.43万元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（7）绩效目标。强化惠民菜篮子建设，保持我市物价总水平基本稳定；完成对国务院和省人民政府确定的重要商品、服务价格和成本的变动进行跟踪、采集、分析和公布的活动。</w:t>
      </w:r>
    </w:p>
    <w:p>
      <w:pPr>
        <w:ind w:firstLine="640" w:firstLineChars="200"/>
        <w:jc w:val="center"/>
        <w:rPr>
          <w:rFonts w:hint="default" w:ascii="Times New Roman" w:hAnsi="Times New Roman" w:eastAsia="仿宋_GB2312" w:cs="Times New Roman"/>
          <w:b w:val="0"/>
          <w:bCs w:val="0"/>
          <w:kern w:val="0"/>
          <w:sz w:val="13"/>
          <w:szCs w:val="13"/>
          <w:lang w:val="en-US" w:eastAsia="zh-CN"/>
        </w:rPr>
      </w:pPr>
    </w:p>
    <w:p>
      <w:pPr>
        <w:ind w:firstLine="640" w:firstLineChars="200"/>
        <w:jc w:val="center"/>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项目支出绩效目标表见附件1-1-1</w:t>
      </w:r>
    </w:p>
    <w:p>
      <w:pPr>
        <w:adjustRightInd w:val="0"/>
        <w:snapToGrid w:val="0"/>
        <w:spacing w:line="580" w:lineRule="exact"/>
        <w:ind w:firstLine="643" w:firstLineChars="200"/>
        <w:rPr>
          <w:rFonts w:hint="default" w:ascii="Times New Roman" w:hAnsi="Times New Roman" w:eastAsia="仿宋_GB2312" w:cs="Times New Roman"/>
          <w:b/>
          <w:sz w:val="21"/>
          <w:szCs w:val="21"/>
          <w:highlight w:val="yellow"/>
        </w:rPr>
      </w:pPr>
    </w:p>
    <w:p>
      <w:pPr>
        <w:ind w:firstLine="640" w:firstLineChars="200"/>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（二）机关运行经费。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淮北市发展和改革委员会2025年机关运行经费财政拨款预算</w:t>
      </w:r>
      <w:r>
        <w:rPr>
          <w:rFonts w:hint="eastAsia" w:ascii="Times New Roman" w:hAnsi="Times New Roman" w:eastAsia="仿宋_GB2312" w:cs="Times New Roman"/>
          <w:kern w:val="0"/>
          <w:sz w:val="32"/>
          <w:szCs w:val="32"/>
          <w:lang w:val="en-US" w:eastAsia="zh-CN"/>
        </w:rPr>
        <w:t>200.98</w:t>
      </w:r>
      <w:r>
        <w:rPr>
          <w:rFonts w:hint="default" w:ascii="Times New Roman" w:hAnsi="Times New Roman" w:eastAsia="仿宋_GB2312" w:cs="Times New Roman"/>
          <w:kern w:val="0"/>
          <w:sz w:val="32"/>
          <w:szCs w:val="32"/>
        </w:rPr>
        <w:t>万元，比2024年预算增加</w:t>
      </w:r>
      <w:r>
        <w:rPr>
          <w:rFonts w:hint="eastAsia" w:ascii="Times New Roman" w:hAnsi="Times New Roman" w:eastAsia="仿宋_GB2312" w:cs="Times New Roman"/>
          <w:kern w:val="0"/>
          <w:sz w:val="32"/>
          <w:szCs w:val="32"/>
          <w:lang w:val="en-US" w:eastAsia="zh-CN"/>
        </w:rPr>
        <w:t>3.3</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1.67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人员变化</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（三）政府采购情况。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2025年政府采购预算</w:t>
      </w:r>
      <w:r>
        <w:rPr>
          <w:rFonts w:hint="default" w:ascii="Times New Roman" w:hAnsi="Times New Roman" w:eastAsia="仿宋_GB2312" w:cs="Times New Roman"/>
          <w:b w:val="0"/>
          <w:bCs w:val="0"/>
          <w:kern w:val="0"/>
          <w:sz w:val="32"/>
          <w:szCs w:val="32"/>
          <w:lang w:val="en-US" w:eastAsia="zh-CN"/>
        </w:rPr>
        <w:t>240</w:t>
      </w:r>
      <w:r>
        <w:rPr>
          <w:rFonts w:hint="default" w:ascii="Times New Roman" w:hAnsi="Times New Roman" w:eastAsia="仿宋_GB2312" w:cs="Times New Roman"/>
          <w:b w:val="0"/>
          <w:bCs w:val="0"/>
          <w:kern w:val="0"/>
          <w:sz w:val="32"/>
          <w:szCs w:val="32"/>
        </w:rPr>
        <w:t>万元。其中：政府采购货物预算</w:t>
      </w:r>
      <w:r>
        <w:rPr>
          <w:rFonts w:hint="default" w:ascii="Times New Roman" w:hAnsi="Times New Roman" w:eastAsia="仿宋_GB2312" w:cs="Times New Roman"/>
          <w:b w:val="0"/>
          <w:bCs w:val="0"/>
          <w:kern w:val="0"/>
          <w:sz w:val="32"/>
          <w:szCs w:val="32"/>
          <w:lang w:val="en-US" w:eastAsia="zh-CN"/>
        </w:rPr>
        <w:t>160</w:t>
      </w:r>
      <w:r>
        <w:rPr>
          <w:rFonts w:hint="default" w:ascii="Times New Roman" w:hAnsi="Times New Roman" w:eastAsia="仿宋_GB2312" w:cs="Times New Roman"/>
          <w:b w:val="0"/>
          <w:bCs w:val="0"/>
          <w:kern w:val="0"/>
          <w:sz w:val="32"/>
          <w:szCs w:val="32"/>
        </w:rPr>
        <w:t>万元，政府采购工程预算</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万元，政府采购服务预算</w:t>
      </w:r>
      <w:r>
        <w:rPr>
          <w:rFonts w:hint="default" w:ascii="Times New Roman" w:hAnsi="Times New Roman" w:eastAsia="仿宋_GB2312" w:cs="Times New Roman"/>
          <w:b w:val="0"/>
          <w:bCs w:val="0"/>
          <w:kern w:val="0"/>
          <w:sz w:val="32"/>
          <w:szCs w:val="32"/>
          <w:lang w:val="en-US" w:eastAsia="zh-CN"/>
        </w:rPr>
        <w:t>80</w:t>
      </w:r>
      <w:r>
        <w:rPr>
          <w:rFonts w:hint="default" w:ascii="Times New Roman" w:hAnsi="Times New Roman" w:eastAsia="仿宋_GB2312" w:cs="Times New Roman"/>
          <w:b w:val="0"/>
          <w:bCs w:val="0"/>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（四）国有资产占有使用情况。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截至2024年12月31日，淮北市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共有车辆</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w:t>
      </w:r>
      <w:r>
        <w:rPr>
          <w:rFonts w:hint="default" w:ascii="Times New Roman" w:hAnsi="Times New Roman" w:eastAsia="仿宋_GB2312" w:cs="Times New Roman"/>
          <w:kern w:val="0"/>
          <w:sz w:val="32"/>
          <w:szCs w:val="32"/>
        </w:rPr>
        <w:t>。单价50万元以上的通用设备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2025年部门预算安排购置公务用车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（五）绩效目标设置情况。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2025年，淮北市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lang w:val="en-US" w:eastAsia="zh-CN"/>
        </w:rPr>
        <w:t>1</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个项目实行了绩效目标管理，涉及一般公共预算当年财政拨款</w:t>
      </w:r>
      <w:r>
        <w:rPr>
          <w:rFonts w:hint="eastAsia" w:ascii="Times New Roman" w:hAnsi="Times New Roman" w:eastAsia="仿宋_GB2312" w:cs="Times New Roman"/>
          <w:b w:val="0"/>
          <w:bCs w:val="0"/>
          <w:kern w:val="0"/>
          <w:sz w:val="32"/>
          <w:szCs w:val="32"/>
          <w:lang w:val="en-US" w:eastAsia="zh-CN"/>
        </w:rPr>
        <w:t>2688.06</w:t>
      </w:r>
      <w:r>
        <w:rPr>
          <w:rFonts w:hint="default" w:ascii="Times New Roman" w:hAnsi="Times New Roman" w:eastAsia="仿宋_GB2312" w:cs="Times New Roman"/>
          <w:b w:val="0"/>
          <w:bCs w:val="0"/>
          <w:kern w:val="0"/>
          <w:sz w:val="32"/>
          <w:szCs w:val="32"/>
        </w:rPr>
        <w:t>万元、政府性基金预算当年财政拨款</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万元、财政专户管理资金当年安排</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p>
    <w:p>
      <w:pPr>
        <w:pStyle w:val="6"/>
        <w:adjustRightInd w:val="0"/>
        <w:snapToGrid w:val="0"/>
        <w:spacing w:line="560" w:lineRule="exact"/>
        <w:jc w:val="both"/>
        <w:rPr>
          <w:rFonts w:hint="default" w:ascii="Times New Roman" w:hAnsi="Times New Roman" w:eastAsia="黑体" w:cs="Times New Roman"/>
          <w:b w:val="0"/>
          <w:bCs w:val="0"/>
          <w:sz w:val="36"/>
          <w:szCs w:val="36"/>
        </w:rPr>
      </w:pPr>
    </w:p>
    <w:p>
      <w:pPr>
        <w:pStyle w:val="6"/>
        <w:adjustRightInd w:val="0"/>
        <w:snapToGrid w:val="0"/>
        <w:spacing w:line="560" w:lineRule="exact"/>
        <w:jc w:val="center"/>
        <w:rPr>
          <w:rFonts w:hint="default" w:ascii="Times New Roman" w:hAnsi="Times New Roman" w:eastAsia="黑体" w:cs="Times New Roman"/>
          <w:bCs/>
          <w:sz w:val="36"/>
          <w:szCs w:val="36"/>
          <w:highlight w:val="yellow"/>
        </w:rPr>
      </w:pPr>
      <w:r>
        <w:rPr>
          <w:rFonts w:hint="default" w:ascii="Times New Roman" w:hAnsi="Times New Roman" w:eastAsia="黑体" w:cs="Times New Roman"/>
          <w:bCs/>
          <w:sz w:val="36"/>
          <w:szCs w:val="36"/>
          <w:highlight w:val="none"/>
        </w:rPr>
        <w:t>第四部分 名词解释</w:t>
      </w:r>
    </w:p>
    <w:p>
      <w:pPr>
        <w:rPr>
          <w:rFonts w:hint="default" w:ascii="Times New Roman" w:hAnsi="Times New Roman" w:cs="Times New Roman"/>
        </w:rPr>
      </w:pP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pPr>
        <w:pStyle w:val="6"/>
        <w:adjustRightInd w:val="0"/>
        <w:snapToGrid w:val="0"/>
        <w:spacing w:line="560" w:lineRule="exact"/>
        <w:ind w:firstLine="630" w:firstLineChars="196"/>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TimesNewRoman">
    <w:altName w:val="Arial Unicode MS"/>
    <w:panose1 w:val="00000000000000000000"/>
    <w:charset w:val="00"/>
    <w:family w:val="auto"/>
    <w:pitch w:val="default"/>
    <w:sig w:usb0="00000000" w:usb1="00000000" w:usb2="00000029" w:usb3="00000000" w:csb0="600001FF" w:csb1="FFFF0000"/>
  </w:font>
  <w:font w:name="黑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13032D"/>
    <w:rsid w:val="00267E33"/>
    <w:rsid w:val="00322DE0"/>
    <w:rsid w:val="0039276B"/>
    <w:rsid w:val="004A4DC6"/>
    <w:rsid w:val="0057562B"/>
    <w:rsid w:val="005E4F29"/>
    <w:rsid w:val="006546AF"/>
    <w:rsid w:val="006C4134"/>
    <w:rsid w:val="00726D96"/>
    <w:rsid w:val="00740B10"/>
    <w:rsid w:val="00854DE8"/>
    <w:rsid w:val="008F6D1A"/>
    <w:rsid w:val="009168AC"/>
    <w:rsid w:val="00976388"/>
    <w:rsid w:val="009A3CA3"/>
    <w:rsid w:val="009E5D12"/>
    <w:rsid w:val="00AE3242"/>
    <w:rsid w:val="00B964EC"/>
    <w:rsid w:val="00BD640A"/>
    <w:rsid w:val="00C24C4D"/>
    <w:rsid w:val="00CC775B"/>
    <w:rsid w:val="00DB2A5C"/>
    <w:rsid w:val="00E11C7F"/>
    <w:rsid w:val="00E907C4"/>
    <w:rsid w:val="00EC7755"/>
    <w:rsid w:val="00EF6A16"/>
    <w:rsid w:val="00F45ECB"/>
    <w:rsid w:val="00F974AD"/>
    <w:rsid w:val="01292073"/>
    <w:rsid w:val="0136718A"/>
    <w:rsid w:val="013F7A9A"/>
    <w:rsid w:val="018A0E13"/>
    <w:rsid w:val="018E7819"/>
    <w:rsid w:val="01D63491"/>
    <w:rsid w:val="01F462C4"/>
    <w:rsid w:val="03074E87"/>
    <w:rsid w:val="033311CF"/>
    <w:rsid w:val="037F384C"/>
    <w:rsid w:val="038C50E0"/>
    <w:rsid w:val="03F66D0E"/>
    <w:rsid w:val="03FD0897"/>
    <w:rsid w:val="04897582"/>
    <w:rsid w:val="049B749C"/>
    <w:rsid w:val="04EF7042"/>
    <w:rsid w:val="05110760"/>
    <w:rsid w:val="053F7FAA"/>
    <w:rsid w:val="058B2628"/>
    <w:rsid w:val="05937A34"/>
    <w:rsid w:val="059960BA"/>
    <w:rsid w:val="05B16FE4"/>
    <w:rsid w:val="05BD0878"/>
    <w:rsid w:val="0654690A"/>
    <w:rsid w:val="0685283F"/>
    <w:rsid w:val="06BF1720"/>
    <w:rsid w:val="06C14C23"/>
    <w:rsid w:val="072F7455"/>
    <w:rsid w:val="075E7FA4"/>
    <w:rsid w:val="07CA2ED7"/>
    <w:rsid w:val="07F20818"/>
    <w:rsid w:val="08583A3F"/>
    <w:rsid w:val="08FD1FCF"/>
    <w:rsid w:val="090D69E6"/>
    <w:rsid w:val="092A0515"/>
    <w:rsid w:val="095A6AE5"/>
    <w:rsid w:val="095D7A6A"/>
    <w:rsid w:val="09B671FF"/>
    <w:rsid w:val="09F102DE"/>
    <w:rsid w:val="0A0E788E"/>
    <w:rsid w:val="0A175F9F"/>
    <w:rsid w:val="0A295EB9"/>
    <w:rsid w:val="0A542580"/>
    <w:rsid w:val="0A94336A"/>
    <w:rsid w:val="0AEC39F9"/>
    <w:rsid w:val="0AFD7516"/>
    <w:rsid w:val="0B27035A"/>
    <w:rsid w:val="0BB64746"/>
    <w:rsid w:val="0BF255C1"/>
    <w:rsid w:val="0C375F99"/>
    <w:rsid w:val="0C9308B1"/>
    <w:rsid w:val="0DF70178"/>
    <w:rsid w:val="0E2444C0"/>
    <w:rsid w:val="0E500807"/>
    <w:rsid w:val="0E66622E"/>
    <w:rsid w:val="0E7E7158"/>
    <w:rsid w:val="0E8457DE"/>
    <w:rsid w:val="0F2C4CF2"/>
    <w:rsid w:val="0FAF1A48"/>
    <w:rsid w:val="103A162C"/>
    <w:rsid w:val="10FD29EF"/>
    <w:rsid w:val="11771034"/>
    <w:rsid w:val="11811943"/>
    <w:rsid w:val="11E670E9"/>
    <w:rsid w:val="122968D9"/>
    <w:rsid w:val="12922A85"/>
    <w:rsid w:val="12C15B53"/>
    <w:rsid w:val="1331710B"/>
    <w:rsid w:val="142A18A2"/>
    <w:rsid w:val="142D60AA"/>
    <w:rsid w:val="144E07DC"/>
    <w:rsid w:val="14B33D84"/>
    <w:rsid w:val="14FF5D93"/>
    <w:rsid w:val="153220D4"/>
    <w:rsid w:val="157463C1"/>
    <w:rsid w:val="15C41643"/>
    <w:rsid w:val="164A2BA1"/>
    <w:rsid w:val="1677496A"/>
    <w:rsid w:val="167823EB"/>
    <w:rsid w:val="167A36F0"/>
    <w:rsid w:val="16810AFC"/>
    <w:rsid w:val="16833FFF"/>
    <w:rsid w:val="17356021"/>
    <w:rsid w:val="17892228"/>
    <w:rsid w:val="17C00184"/>
    <w:rsid w:val="17CA6515"/>
    <w:rsid w:val="17EB6A4A"/>
    <w:rsid w:val="1825592A"/>
    <w:rsid w:val="18DD095C"/>
    <w:rsid w:val="191D5EC2"/>
    <w:rsid w:val="19314B62"/>
    <w:rsid w:val="19443B83"/>
    <w:rsid w:val="19C41B53"/>
    <w:rsid w:val="19EA1D92"/>
    <w:rsid w:val="1AC8397F"/>
    <w:rsid w:val="1B0921EA"/>
    <w:rsid w:val="1BA70DEF"/>
    <w:rsid w:val="1BCB22A8"/>
    <w:rsid w:val="1C255E3A"/>
    <w:rsid w:val="1C752741"/>
    <w:rsid w:val="1C7E55CF"/>
    <w:rsid w:val="1CF3558E"/>
    <w:rsid w:val="1D7E5172"/>
    <w:rsid w:val="1DA03128"/>
    <w:rsid w:val="1DA453B1"/>
    <w:rsid w:val="1DC0365D"/>
    <w:rsid w:val="1DFA253D"/>
    <w:rsid w:val="1E3958A5"/>
    <w:rsid w:val="1EE84744"/>
    <w:rsid w:val="1F412854"/>
    <w:rsid w:val="1F454ADD"/>
    <w:rsid w:val="1F5514F4"/>
    <w:rsid w:val="1F7E26B9"/>
    <w:rsid w:val="1F9757E1"/>
    <w:rsid w:val="1FF300F9"/>
    <w:rsid w:val="20A90B21"/>
    <w:rsid w:val="21290176"/>
    <w:rsid w:val="216721D9"/>
    <w:rsid w:val="22077B64"/>
    <w:rsid w:val="22185880"/>
    <w:rsid w:val="22914245"/>
    <w:rsid w:val="232721BA"/>
    <w:rsid w:val="23B52D23"/>
    <w:rsid w:val="23C358BC"/>
    <w:rsid w:val="245C53FB"/>
    <w:rsid w:val="24B351C4"/>
    <w:rsid w:val="25223279"/>
    <w:rsid w:val="25C27580"/>
    <w:rsid w:val="26257624"/>
    <w:rsid w:val="264D4F65"/>
    <w:rsid w:val="2684763E"/>
    <w:rsid w:val="26862B41"/>
    <w:rsid w:val="26DB38D0"/>
    <w:rsid w:val="270A0B9B"/>
    <w:rsid w:val="270B661D"/>
    <w:rsid w:val="27172430"/>
    <w:rsid w:val="271A0E36"/>
    <w:rsid w:val="27372964"/>
    <w:rsid w:val="27520F90"/>
    <w:rsid w:val="2764472D"/>
    <w:rsid w:val="279613C5"/>
    <w:rsid w:val="281C1CDD"/>
    <w:rsid w:val="281D195D"/>
    <w:rsid w:val="28D07202"/>
    <w:rsid w:val="294B6B4C"/>
    <w:rsid w:val="29780915"/>
    <w:rsid w:val="2A1E4926"/>
    <w:rsid w:val="2A3B1CD8"/>
    <w:rsid w:val="2AAE6793"/>
    <w:rsid w:val="2B991C14"/>
    <w:rsid w:val="2BA56D2B"/>
    <w:rsid w:val="2BA87CB0"/>
    <w:rsid w:val="2BB36041"/>
    <w:rsid w:val="2C2C2488"/>
    <w:rsid w:val="2C4320AD"/>
    <w:rsid w:val="2C80668E"/>
    <w:rsid w:val="2CCD678E"/>
    <w:rsid w:val="2D5A1875"/>
    <w:rsid w:val="2D5E607D"/>
    <w:rsid w:val="2DB5450D"/>
    <w:rsid w:val="2DC9792A"/>
    <w:rsid w:val="2E167A29"/>
    <w:rsid w:val="2E807459"/>
    <w:rsid w:val="2ED21461"/>
    <w:rsid w:val="2EE54BFF"/>
    <w:rsid w:val="2F107C41"/>
    <w:rsid w:val="2F731EE4"/>
    <w:rsid w:val="300C7EE4"/>
    <w:rsid w:val="30355826"/>
    <w:rsid w:val="303A1CAD"/>
    <w:rsid w:val="30555D5A"/>
    <w:rsid w:val="30DD6F38"/>
    <w:rsid w:val="30E07EBD"/>
    <w:rsid w:val="314743E9"/>
    <w:rsid w:val="315F400E"/>
    <w:rsid w:val="317C35BE"/>
    <w:rsid w:val="31CD20C4"/>
    <w:rsid w:val="32545820"/>
    <w:rsid w:val="32CA6862"/>
    <w:rsid w:val="32EA3795"/>
    <w:rsid w:val="33A928CE"/>
    <w:rsid w:val="34A80273"/>
    <w:rsid w:val="34B13101"/>
    <w:rsid w:val="34C42121"/>
    <w:rsid w:val="34C865A9"/>
    <w:rsid w:val="34F934F5"/>
    <w:rsid w:val="351D0231"/>
    <w:rsid w:val="357E6FD1"/>
    <w:rsid w:val="358F2AEF"/>
    <w:rsid w:val="360714B4"/>
    <w:rsid w:val="36306DF5"/>
    <w:rsid w:val="363A1903"/>
    <w:rsid w:val="36E13395"/>
    <w:rsid w:val="371812F1"/>
    <w:rsid w:val="371C5779"/>
    <w:rsid w:val="37635EED"/>
    <w:rsid w:val="39343C61"/>
    <w:rsid w:val="39446403"/>
    <w:rsid w:val="396543B9"/>
    <w:rsid w:val="39A706A6"/>
    <w:rsid w:val="3A2C2AFD"/>
    <w:rsid w:val="3A6E266D"/>
    <w:rsid w:val="3A977FAE"/>
    <w:rsid w:val="3AA2053D"/>
    <w:rsid w:val="3ADF03A2"/>
    <w:rsid w:val="3B4535CA"/>
    <w:rsid w:val="3C061489"/>
    <w:rsid w:val="3C6D2133"/>
    <w:rsid w:val="3D3C5C83"/>
    <w:rsid w:val="3D646E47"/>
    <w:rsid w:val="3DC96B6C"/>
    <w:rsid w:val="3DE06791"/>
    <w:rsid w:val="3DFF1244"/>
    <w:rsid w:val="3EEF0B4C"/>
    <w:rsid w:val="3EFE1167"/>
    <w:rsid w:val="3F4C3465"/>
    <w:rsid w:val="3F8D5553"/>
    <w:rsid w:val="40360E64"/>
    <w:rsid w:val="406D6DBF"/>
    <w:rsid w:val="406E00C4"/>
    <w:rsid w:val="40D91972"/>
    <w:rsid w:val="40F97CA8"/>
    <w:rsid w:val="40FB31AB"/>
    <w:rsid w:val="420A3368"/>
    <w:rsid w:val="4237620D"/>
    <w:rsid w:val="4359650D"/>
    <w:rsid w:val="43605E98"/>
    <w:rsid w:val="439B27FA"/>
    <w:rsid w:val="43FF6C9B"/>
    <w:rsid w:val="44050BA5"/>
    <w:rsid w:val="44F3082D"/>
    <w:rsid w:val="45996A3C"/>
    <w:rsid w:val="459E6747"/>
    <w:rsid w:val="460573F1"/>
    <w:rsid w:val="46B61793"/>
    <w:rsid w:val="47380A67"/>
    <w:rsid w:val="4764152B"/>
    <w:rsid w:val="48185B57"/>
    <w:rsid w:val="490D18E7"/>
    <w:rsid w:val="49302DA0"/>
    <w:rsid w:val="499A49CE"/>
    <w:rsid w:val="49E22BC4"/>
    <w:rsid w:val="49E43B49"/>
    <w:rsid w:val="49F266E1"/>
    <w:rsid w:val="49FC6FF1"/>
    <w:rsid w:val="4A2139AD"/>
    <w:rsid w:val="4A4E3578"/>
    <w:rsid w:val="4A7E62C5"/>
    <w:rsid w:val="4ACD3AC6"/>
    <w:rsid w:val="4AF57209"/>
    <w:rsid w:val="4AF61407"/>
    <w:rsid w:val="4B3237EB"/>
    <w:rsid w:val="4B5814AC"/>
    <w:rsid w:val="4BBB5CCD"/>
    <w:rsid w:val="4BBD11D0"/>
    <w:rsid w:val="4BE87A96"/>
    <w:rsid w:val="4CF27F48"/>
    <w:rsid w:val="4D185C09"/>
    <w:rsid w:val="4D25749E"/>
    <w:rsid w:val="4D8F494F"/>
    <w:rsid w:val="4DB76A0C"/>
    <w:rsid w:val="4E1E2F39"/>
    <w:rsid w:val="4E391564"/>
    <w:rsid w:val="4E574397"/>
    <w:rsid w:val="4E657E2A"/>
    <w:rsid w:val="4E937674"/>
    <w:rsid w:val="4EC549CB"/>
    <w:rsid w:val="4EE82601"/>
    <w:rsid w:val="4F0679B3"/>
    <w:rsid w:val="4F136CC9"/>
    <w:rsid w:val="4F78446F"/>
    <w:rsid w:val="4F787CF2"/>
    <w:rsid w:val="4FBA075B"/>
    <w:rsid w:val="50113369"/>
    <w:rsid w:val="505B02E5"/>
    <w:rsid w:val="506E5C81"/>
    <w:rsid w:val="50EE52D5"/>
    <w:rsid w:val="513037C0"/>
    <w:rsid w:val="514D0B72"/>
    <w:rsid w:val="51914ADE"/>
    <w:rsid w:val="51974469"/>
    <w:rsid w:val="52582329"/>
    <w:rsid w:val="528256EC"/>
    <w:rsid w:val="528D14FE"/>
    <w:rsid w:val="52AA68B0"/>
    <w:rsid w:val="52EA3E16"/>
    <w:rsid w:val="52F23421"/>
    <w:rsid w:val="53E57531"/>
    <w:rsid w:val="54194508"/>
    <w:rsid w:val="54735E9C"/>
    <w:rsid w:val="54AE27FD"/>
    <w:rsid w:val="55245CBF"/>
    <w:rsid w:val="55957278"/>
    <w:rsid w:val="55F27611"/>
    <w:rsid w:val="55F66018"/>
    <w:rsid w:val="55FA4A1E"/>
    <w:rsid w:val="563170F6"/>
    <w:rsid w:val="56563AB2"/>
    <w:rsid w:val="56A02C2D"/>
    <w:rsid w:val="573213A1"/>
    <w:rsid w:val="57717B9F"/>
    <w:rsid w:val="57882F2B"/>
    <w:rsid w:val="578B3EAF"/>
    <w:rsid w:val="57990C47"/>
    <w:rsid w:val="57B0086C"/>
    <w:rsid w:val="585338F8"/>
    <w:rsid w:val="585E3E88"/>
    <w:rsid w:val="58BE7724"/>
    <w:rsid w:val="58CB483C"/>
    <w:rsid w:val="590D65AA"/>
    <w:rsid w:val="59762756"/>
    <w:rsid w:val="59AD4E2E"/>
    <w:rsid w:val="5A081CC5"/>
    <w:rsid w:val="5A20736C"/>
    <w:rsid w:val="5A5D394D"/>
    <w:rsid w:val="5A8F5421"/>
    <w:rsid w:val="5A9B1234"/>
    <w:rsid w:val="5ABA1AE9"/>
    <w:rsid w:val="5B8C403F"/>
    <w:rsid w:val="5BA57168"/>
    <w:rsid w:val="5BC709A1"/>
    <w:rsid w:val="5BF062E2"/>
    <w:rsid w:val="5C433B6E"/>
    <w:rsid w:val="5C4A34F9"/>
    <w:rsid w:val="5C6340A3"/>
    <w:rsid w:val="5CA16106"/>
    <w:rsid w:val="5CBD21B3"/>
    <w:rsid w:val="5D4A309B"/>
    <w:rsid w:val="5D54142D"/>
    <w:rsid w:val="5D620742"/>
    <w:rsid w:val="5E122AE4"/>
    <w:rsid w:val="5E454E2E"/>
    <w:rsid w:val="5EA0144F"/>
    <w:rsid w:val="5FA91901"/>
    <w:rsid w:val="5FB20F0C"/>
    <w:rsid w:val="5FCA1E36"/>
    <w:rsid w:val="60510E15"/>
    <w:rsid w:val="608A69F1"/>
    <w:rsid w:val="61457124"/>
    <w:rsid w:val="61B31956"/>
    <w:rsid w:val="62107AF1"/>
    <w:rsid w:val="625E5672"/>
    <w:rsid w:val="62762D19"/>
    <w:rsid w:val="62793C9D"/>
    <w:rsid w:val="63095B0B"/>
    <w:rsid w:val="630D4511"/>
    <w:rsid w:val="636F0D32"/>
    <w:rsid w:val="63B2141C"/>
    <w:rsid w:val="63EC02FC"/>
    <w:rsid w:val="640C6632"/>
    <w:rsid w:val="65490238"/>
    <w:rsid w:val="664D45E3"/>
    <w:rsid w:val="6695025A"/>
    <w:rsid w:val="66BA2A18"/>
    <w:rsid w:val="66C258A6"/>
    <w:rsid w:val="673F2C72"/>
    <w:rsid w:val="675F31A6"/>
    <w:rsid w:val="679C300B"/>
    <w:rsid w:val="680571B7"/>
    <w:rsid w:val="687142E8"/>
    <w:rsid w:val="687B4BF8"/>
    <w:rsid w:val="68A128B9"/>
    <w:rsid w:val="68DA0494"/>
    <w:rsid w:val="68DB10F7"/>
    <w:rsid w:val="697D7C9D"/>
    <w:rsid w:val="69852B2B"/>
    <w:rsid w:val="6A254C33"/>
    <w:rsid w:val="6A410CE0"/>
    <w:rsid w:val="6A6B1B24"/>
    <w:rsid w:val="6ADA345D"/>
    <w:rsid w:val="6BD51213"/>
    <w:rsid w:val="6BE2620E"/>
    <w:rsid w:val="6BEC0D1C"/>
    <w:rsid w:val="6BFE7D3C"/>
    <w:rsid w:val="6C072BCA"/>
    <w:rsid w:val="6C14665D"/>
    <w:rsid w:val="6C9C5388"/>
    <w:rsid w:val="6D167504"/>
    <w:rsid w:val="6D1D2712"/>
    <w:rsid w:val="6D282CA2"/>
    <w:rsid w:val="6D3C51C6"/>
    <w:rsid w:val="6D4425D2"/>
    <w:rsid w:val="6D9767D9"/>
    <w:rsid w:val="6DF8337A"/>
    <w:rsid w:val="6E04718D"/>
    <w:rsid w:val="6E460EFB"/>
    <w:rsid w:val="6E621725"/>
    <w:rsid w:val="6EBB0EBA"/>
    <w:rsid w:val="6F0F0944"/>
    <w:rsid w:val="6F483FA1"/>
    <w:rsid w:val="70030E51"/>
    <w:rsid w:val="70992378"/>
    <w:rsid w:val="712D2EBD"/>
    <w:rsid w:val="7185354B"/>
    <w:rsid w:val="71DB64D8"/>
    <w:rsid w:val="71F260FE"/>
    <w:rsid w:val="724A458E"/>
    <w:rsid w:val="72946F8C"/>
    <w:rsid w:val="72ED761A"/>
    <w:rsid w:val="73861D97"/>
    <w:rsid w:val="75091F13"/>
    <w:rsid w:val="75F21E91"/>
    <w:rsid w:val="76905212"/>
    <w:rsid w:val="76A032AE"/>
    <w:rsid w:val="771D60FB"/>
    <w:rsid w:val="773E6ED8"/>
    <w:rsid w:val="77B030EB"/>
    <w:rsid w:val="77DE0738"/>
    <w:rsid w:val="79917D7E"/>
    <w:rsid w:val="79B47039"/>
    <w:rsid w:val="79C14150"/>
    <w:rsid w:val="79D917F7"/>
    <w:rsid w:val="7AA9664C"/>
    <w:rsid w:val="7AF122C4"/>
    <w:rsid w:val="7B6D768F"/>
    <w:rsid w:val="7BEA6C58"/>
    <w:rsid w:val="7C2D09C7"/>
    <w:rsid w:val="7D913B11"/>
    <w:rsid w:val="7E8C722C"/>
    <w:rsid w:val="7F831D43"/>
    <w:rsid w:val="7FC527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2"/>
    <w:basedOn w:val="1"/>
    <w:next w:val="1"/>
    <w:unhideWhenUsed/>
    <w:qFormat/>
    <w:uiPriority w:val="99"/>
    <w:pPr>
      <w:ind w:firstLine="200" w:firstLineChars="200"/>
    </w:pPr>
    <w:rPr>
      <w:sz w:val="32"/>
      <w:szCs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ScaleCrop>false</ScaleCrop>
  <LinksUpToDate>false</LinksUpToDate>
  <CharactersWithSpaces>6578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高畅</cp:lastModifiedBy>
  <dcterms:modified xsi:type="dcterms:W3CDTF">2025-02-24T08:13:52Z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