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spacing w:line="560" w:lineRule="exact"/>
        <w:rPr>
          <w:rFonts w:hint="default" w:ascii="Times New Roman" w:hAnsi="Times New Roman" w:eastAsia="黑体" w:cs="Times New Roman"/>
          <w:szCs w:val="32"/>
        </w:rPr>
      </w:pPr>
      <w:r>
        <w:rPr>
          <w:rFonts w:hint="default" w:ascii="Times New Roman" w:hAnsi="Times New Roman" w:eastAsia="黑体" w:cs="Times New Roman"/>
          <w:szCs w:val="32"/>
        </w:rPr>
        <w:t>附件1-1</w:t>
      </w:r>
    </w:p>
    <w:p>
      <w:pPr/>
    </w:p>
    <w:p>
      <w:pPr/>
    </w:p>
    <w:p>
      <w:pPr/>
    </w:p>
    <w:p>
      <w:pPr/>
    </w:p>
    <w:p>
      <w:pPr/>
    </w:p>
    <w:p>
      <w:pPr/>
    </w:p>
    <w:p>
      <w:pPr/>
    </w:p>
    <w:p>
      <w:pPr/>
    </w:p>
    <w:p>
      <w:pPr>
        <w:spacing w:line="560" w:lineRule="exact"/>
        <w:jc w:val="center"/>
        <w:rPr>
          <w:rFonts w:hint="eastAsia" w:ascii="方正小标宋简体" w:hAnsi="方正小标宋简体" w:eastAsia="方正小标宋简体" w:cs="方正小标宋简体"/>
          <w:b w:val="0"/>
          <w:bCs/>
          <w:sz w:val="44"/>
          <w:szCs w:val="44"/>
          <w:lang w:eastAsia="zh-CN"/>
        </w:rPr>
      </w:pPr>
      <w:r>
        <w:rPr>
          <w:rFonts w:hint="eastAsia" w:ascii="方正小标宋简体" w:hAnsi="方正小标宋简体" w:eastAsia="方正小标宋简体" w:cs="方正小标宋简体"/>
          <w:b w:val="0"/>
          <w:bCs/>
          <w:sz w:val="44"/>
          <w:szCs w:val="44"/>
        </w:rPr>
        <w:t>淮北市</w:t>
      </w:r>
      <w:r>
        <w:rPr>
          <w:rFonts w:ascii="方正小标宋简体" w:hAnsi="TimesNewRoman" w:eastAsia="方正小标宋简体" w:cs="方正小标宋简体"/>
          <w:sz w:val="44"/>
          <w:szCs w:val="44"/>
        </w:rPr>
        <w:t>重点建设项目办公室</w:t>
      </w:r>
    </w:p>
    <w:p>
      <w:pPr>
        <w:spacing w:line="560" w:lineRule="exact"/>
        <w:jc w:val="center"/>
        <w:rPr>
          <w:rFonts w:ascii="TimesNewRoman" w:hAnsi="TimesNewRoman" w:eastAsia="华文中宋" w:cs="TimesNewRoman"/>
          <w:b/>
          <w:sz w:val="44"/>
          <w:szCs w:val="44"/>
        </w:rPr>
      </w:pPr>
      <w:r>
        <w:rPr>
          <w:rFonts w:hint="eastAsia" w:ascii="方正小标宋简体" w:hAnsi="方正小标宋简体" w:eastAsia="方正小标宋简体" w:cs="方正小标宋简体"/>
          <w:b w:val="0"/>
          <w:bCs/>
          <w:sz w:val="44"/>
          <w:szCs w:val="44"/>
        </w:rPr>
        <w:t>2025年</w:t>
      </w:r>
      <w:r>
        <w:rPr>
          <w:rFonts w:hint="eastAsia" w:ascii="方正小标宋简体" w:hAnsi="方正小标宋简体" w:eastAsia="方正小标宋简体" w:cs="方正小标宋简体"/>
          <w:b w:val="0"/>
          <w:bCs/>
          <w:sz w:val="44"/>
          <w:szCs w:val="44"/>
          <w:lang w:eastAsia="zh-CN"/>
        </w:rPr>
        <w:t>单位</w:t>
      </w:r>
      <w:r>
        <w:rPr>
          <w:rFonts w:hint="eastAsia" w:ascii="方正小标宋简体" w:hAnsi="方正小标宋简体" w:eastAsia="方正小标宋简体" w:cs="方正小标宋简体"/>
          <w:b w:val="0"/>
          <w:bCs/>
          <w:sz w:val="44"/>
          <w:szCs w:val="44"/>
        </w:rPr>
        <w:t>预算</w:t>
      </w:r>
    </w:p>
    <w:p>
      <w:pPr/>
    </w:p>
    <w:p>
      <w:pPr/>
    </w:p>
    <w:p>
      <w:pPr/>
    </w:p>
    <w:p>
      <w:pPr/>
    </w:p>
    <w:p>
      <w:pPr/>
    </w:p>
    <w:p>
      <w:pPr/>
    </w:p>
    <w:p>
      <w:pPr/>
    </w:p>
    <w:p>
      <w:pPr/>
    </w:p>
    <w:p>
      <w:pPr/>
    </w:p>
    <w:p>
      <w:pPr/>
    </w:p>
    <w:p>
      <w:pPr/>
    </w:p>
    <w:p>
      <w:pPr/>
    </w:p>
    <w:p>
      <w:pPr/>
    </w:p>
    <w:p>
      <w:pPr/>
    </w:p>
    <w:p>
      <w:pPr/>
    </w:p>
    <w:p>
      <w:pPr/>
    </w:p>
    <w:p>
      <w:pPr/>
    </w:p>
    <w:p>
      <w:pPr/>
    </w:p>
    <w:p>
      <w:pPr/>
    </w:p>
    <w:p>
      <w:pPr/>
    </w:p>
    <w:p>
      <w:pPr/>
    </w:p>
    <w:p>
      <w:pPr/>
    </w:p>
    <w:p>
      <w:pPr>
        <w:pStyle w:val="7"/>
        <w:adjustRightInd w:val="0"/>
        <w:snapToGrid w:val="0"/>
        <w:spacing w:line="560" w:lineRule="exact"/>
        <w:jc w:val="center"/>
        <w:rPr>
          <w:rFonts w:ascii="TimesNewRoman" w:hAnsi="TimesNewRoman" w:eastAsia="黑体" w:cs="TimesNewRoman"/>
          <w:bCs/>
          <w:sz w:val="44"/>
          <w:szCs w:val="44"/>
        </w:rPr>
      </w:pPr>
    </w:p>
    <w:p>
      <w:pPr>
        <w:pStyle w:val="7"/>
        <w:adjustRightInd w:val="0"/>
        <w:snapToGrid w:val="0"/>
        <w:spacing w:line="560" w:lineRule="exact"/>
        <w:jc w:val="center"/>
        <w:rPr>
          <w:rFonts w:ascii="TimesNewRoman" w:hAnsi="TimesNewRoman" w:eastAsia="黑体" w:cs="TimesNewRoman"/>
          <w:bCs/>
          <w:sz w:val="44"/>
          <w:szCs w:val="44"/>
        </w:rPr>
      </w:pPr>
      <w:r>
        <w:rPr>
          <w:rFonts w:hint="default" w:ascii="Times New Roman" w:hAnsi="Times New Roman" w:eastAsia="黑体" w:cs="Times New Roman"/>
          <w:bCs/>
          <w:sz w:val="44"/>
          <w:szCs w:val="44"/>
        </w:rPr>
        <w:t>2025年</w:t>
      </w:r>
      <w:r>
        <w:rPr>
          <w:rFonts w:hint="default" w:ascii="Times New Roman" w:hAnsi="Times New Roman" w:eastAsia="黑体" w:cs="Times New Roman"/>
          <w:bCs/>
          <w:sz w:val="44"/>
          <w:szCs w:val="44"/>
          <w:lang w:val="en-US" w:eastAsia="zh-CN"/>
        </w:rPr>
        <w:t>2</w:t>
      </w:r>
      <w:r>
        <w:rPr>
          <w:rFonts w:hint="default" w:ascii="Times New Roman" w:hAnsi="Times New Roman" w:eastAsia="黑体" w:cs="Times New Roman"/>
          <w:bCs/>
          <w:sz w:val="44"/>
          <w:szCs w:val="44"/>
        </w:rPr>
        <w:t>月</w:t>
      </w:r>
    </w:p>
    <w:p>
      <w:pPr/>
    </w:p>
    <w:p>
      <w:pPr>
        <w:pStyle w:val="7"/>
        <w:adjustRightInd w:val="0"/>
        <w:snapToGrid w:val="0"/>
        <w:spacing w:line="560" w:lineRule="exact"/>
        <w:jc w:val="both"/>
        <w:rPr>
          <w:rFonts w:hint="eastAsia" w:ascii="TimesNewRoman" w:hAnsi="TimesNewRoman" w:eastAsia="黑体" w:cs="TimesNewRoman"/>
          <w:bCs/>
          <w:sz w:val="44"/>
          <w:szCs w:val="44"/>
        </w:rPr>
      </w:pPr>
    </w:p>
    <w:p>
      <w:pPr>
        <w:pStyle w:val="7"/>
        <w:adjustRightInd w:val="0"/>
        <w:snapToGrid w:val="0"/>
        <w:spacing w:line="560" w:lineRule="exact"/>
        <w:jc w:val="center"/>
        <w:rPr>
          <w:rFonts w:ascii="TimesNewRoman" w:hAnsi="TimesNewRoman" w:eastAsia="黑体" w:cs="TimesNewRoman"/>
          <w:bCs/>
          <w:sz w:val="44"/>
          <w:szCs w:val="44"/>
        </w:rPr>
      </w:pPr>
      <w:r>
        <w:rPr>
          <w:rFonts w:hint="eastAsia" w:ascii="TimesNewRoman" w:hAnsi="TimesNewRoman" w:eastAsia="黑体" w:cs="TimesNewRoman"/>
          <w:bCs/>
          <w:sz w:val="44"/>
          <w:szCs w:val="44"/>
        </w:rPr>
        <w:t>目  录</w:t>
      </w:r>
    </w:p>
    <w:p>
      <w:pPr/>
    </w:p>
    <w:p>
      <w:pPr>
        <w:pStyle w:val="7"/>
        <w:adjustRightInd w:val="0"/>
        <w:snapToGrid w:val="0"/>
        <w:spacing w:line="400" w:lineRule="exact"/>
        <w:ind w:firstLine="643" w:firstLineChars="200"/>
        <w:rPr>
          <w:rFonts w:hint="default" w:ascii="Times New Roman" w:hAnsi="Times New Roman" w:eastAsia="仿宋_GB2312" w:cs="Times New Roman"/>
          <w:b/>
          <w:sz w:val="32"/>
          <w:szCs w:val="32"/>
        </w:rPr>
      </w:pPr>
      <w:r>
        <w:rPr>
          <w:rFonts w:hint="default" w:ascii="Times New Roman" w:hAnsi="Times New Roman" w:eastAsia="仿宋_GB2312" w:cs="Times New Roman"/>
          <w:b/>
          <w:sz w:val="32"/>
          <w:szCs w:val="32"/>
        </w:rPr>
        <w:t xml:space="preserve">第一部分 </w:t>
      </w:r>
      <w:r>
        <w:rPr>
          <w:rFonts w:hint="eastAsia" w:ascii="Times New Roman" w:hAnsi="Times New Roman" w:eastAsia="仿宋_GB2312" w:cs="Times New Roman"/>
          <w:b/>
          <w:sz w:val="32"/>
          <w:szCs w:val="32"/>
          <w:lang w:eastAsia="zh-CN"/>
        </w:rPr>
        <w:t>单位</w:t>
      </w:r>
      <w:r>
        <w:rPr>
          <w:rFonts w:hint="default" w:ascii="Times New Roman" w:hAnsi="Times New Roman" w:eastAsia="仿宋_GB2312" w:cs="Times New Roman"/>
          <w:b/>
          <w:sz w:val="32"/>
          <w:szCs w:val="32"/>
        </w:rPr>
        <w:t>概况</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1、主要职责</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2、</w:t>
      </w:r>
      <w:r>
        <w:rPr>
          <w:rFonts w:hint="eastAsia" w:ascii="Times New Roman" w:hAnsi="Times New Roman" w:eastAsia="仿宋_GB2312" w:cs="Times New Roman"/>
          <w:bCs/>
          <w:sz w:val="32"/>
          <w:szCs w:val="32"/>
          <w:lang w:eastAsia="zh-CN"/>
        </w:rPr>
        <w:t>单位</w:t>
      </w:r>
      <w:r>
        <w:rPr>
          <w:rFonts w:hint="default" w:ascii="Times New Roman" w:hAnsi="Times New Roman" w:eastAsia="仿宋_GB2312" w:cs="Times New Roman"/>
          <w:bCs/>
          <w:sz w:val="32"/>
          <w:szCs w:val="32"/>
        </w:rPr>
        <w:t>预算构成</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3</w:t>
      </w:r>
      <w:r>
        <w:rPr>
          <w:rFonts w:hint="default" w:ascii="Times New Roman" w:hAnsi="Times New Roman" w:eastAsia="仿宋_GB2312" w:cs="Times New Roman"/>
          <w:bCs/>
          <w:sz w:val="32"/>
          <w:szCs w:val="32"/>
          <w:lang w:eastAsia="zh-CN"/>
        </w:rPr>
        <w:t>、</w:t>
      </w:r>
      <w:r>
        <w:rPr>
          <w:rFonts w:hint="default" w:ascii="Times New Roman" w:hAnsi="Times New Roman" w:eastAsia="仿宋_GB2312" w:cs="Times New Roman"/>
          <w:bCs/>
          <w:sz w:val="32"/>
          <w:szCs w:val="32"/>
        </w:rPr>
        <w:t>2025年度主要工作任务</w:t>
      </w:r>
    </w:p>
    <w:p>
      <w:pPr>
        <w:pStyle w:val="7"/>
        <w:adjustRightInd w:val="0"/>
        <w:snapToGrid w:val="0"/>
        <w:spacing w:line="400" w:lineRule="exact"/>
        <w:ind w:firstLine="643" w:firstLineChars="200"/>
        <w:rPr>
          <w:rFonts w:hint="default" w:ascii="Times New Roman" w:hAnsi="Times New Roman" w:eastAsia="仿宋_GB2312" w:cs="Times New Roman"/>
          <w:b/>
          <w:sz w:val="32"/>
          <w:szCs w:val="32"/>
        </w:rPr>
      </w:pPr>
      <w:r>
        <w:rPr>
          <w:rFonts w:hint="default" w:ascii="Times New Roman" w:hAnsi="Times New Roman" w:eastAsia="仿宋_GB2312" w:cs="Times New Roman"/>
          <w:b/>
          <w:sz w:val="32"/>
          <w:szCs w:val="32"/>
        </w:rPr>
        <w:t>第二部分 2025年</w:t>
      </w:r>
      <w:r>
        <w:rPr>
          <w:rFonts w:hint="eastAsia" w:ascii="Times New Roman" w:hAnsi="Times New Roman" w:eastAsia="仿宋_GB2312" w:cs="Times New Roman"/>
          <w:b/>
          <w:sz w:val="32"/>
          <w:szCs w:val="32"/>
          <w:lang w:eastAsia="zh-CN"/>
        </w:rPr>
        <w:t>单位</w:t>
      </w:r>
      <w:r>
        <w:rPr>
          <w:rFonts w:hint="default" w:ascii="Times New Roman" w:hAnsi="Times New Roman" w:eastAsia="仿宋_GB2312" w:cs="Times New Roman"/>
          <w:b/>
          <w:sz w:val="32"/>
          <w:szCs w:val="32"/>
        </w:rPr>
        <w:t>预算表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1、淮北市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2025年收支总表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2、淮北市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2025年收入总表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3、淮北市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2025年支出总表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4、淮北市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2025年财政拨款收支总表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5、淮北市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2025年一般公共预算支出表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6、淮北市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2025年一般公共预算基本支出表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7、淮北市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2025年政府性基金预算支出表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8、淮北市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2025年国有资本经营预算支出表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9、淮北市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2025年项目支出表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10、淮北市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2025年政府采购支出表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11、淮北市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2025年政府购买服务支出表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12、淮北市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2025年通用资产配置支出表</w:t>
      </w:r>
    </w:p>
    <w:p>
      <w:pPr>
        <w:pStyle w:val="7"/>
        <w:adjustRightInd w:val="0"/>
        <w:snapToGrid w:val="0"/>
        <w:spacing w:line="400" w:lineRule="exact"/>
        <w:ind w:firstLine="643" w:firstLineChars="200"/>
        <w:rPr>
          <w:rFonts w:hint="default" w:ascii="Times New Roman" w:hAnsi="Times New Roman" w:eastAsia="仿宋_GB2312" w:cs="Times New Roman"/>
          <w:b/>
          <w:sz w:val="32"/>
          <w:szCs w:val="32"/>
        </w:rPr>
      </w:pPr>
    </w:p>
    <w:p>
      <w:pPr>
        <w:pStyle w:val="7"/>
        <w:adjustRightInd w:val="0"/>
        <w:snapToGrid w:val="0"/>
        <w:spacing w:line="400" w:lineRule="exact"/>
        <w:ind w:firstLine="643" w:firstLineChars="200"/>
        <w:rPr>
          <w:rFonts w:hint="default" w:ascii="Times New Roman" w:hAnsi="Times New Roman" w:eastAsia="仿宋_GB2312" w:cs="Times New Roman"/>
          <w:b/>
          <w:sz w:val="32"/>
          <w:szCs w:val="32"/>
        </w:rPr>
      </w:pPr>
    </w:p>
    <w:p>
      <w:pPr>
        <w:pStyle w:val="7"/>
        <w:adjustRightInd w:val="0"/>
        <w:snapToGrid w:val="0"/>
        <w:spacing w:line="400" w:lineRule="exact"/>
        <w:ind w:firstLine="643" w:firstLineChars="200"/>
        <w:rPr>
          <w:rFonts w:hint="default" w:ascii="Times New Roman" w:hAnsi="Times New Roman" w:eastAsia="仿宋_GB2312" w:cs="Times New Roman"/>
          <w:b/>
          <w:sz w:val="32"/>
          <w:szCs w:val="32"/>
        </w:rPr>
      </w:pPr>
      <w:r>
        <w:rPr>
          <w:rFonts w:hint="default" w:ascii="Times New Roman" w:hAnsi="Times New Roman" w:eastAsia="仿宋_GB2312" w:cs="Times New Roman"/>
          <w:b/>
          <w:sz w:val="32"/>
          <w:szCs w:val="32"/>
        </w:rPr>
        <w:t>第三部分 2025年单位预算情况说明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1、关于2025年收支总表的说明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2、关于2025年收入总表的说明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3、关于2025年支出总表的说明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4、关于2025年财政拨款收支总表的说明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5、关于2025年一般公共预算支出表的说明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6、关于2025年一般公共预算基本支出表的说明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7、关于2025年政府性基金预算支出表的说明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8、关于2025年国有资本经营预算支出表的说明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9、关于2025年项目支出表的说明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10、关于2025年政府采购支出表的说明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11、关于2025年政府购买服务支出表的说明</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12、其他重要事项情况说明</w:t>
      </w:r>
    </w:p>
    <w:p>
      <w:pPr>
        <w:pStyle w:val="7"/>
        <w:adjustRightInd w:val="0"/>
        <w:snapToGrid w:val="0"/>
        <w:spacing w:line="400" w:lineRule="exact"/>
        <w:ind w:firstLine="643" w:firstLineChars="200"/>
        <w:rPr>
          <w:rFonts w:hint="default" w:ascii="Times New Roman" w:hAnsi="Times New Roman" w:eastAsia="仿宋_GB2312" w:cs="Times New Roman"/>
          <w:b/>
          <w:sz w:val="32"/>
          <w:szCs w:val="32"/>
        </w:rPr>
      </w:pPr>
      <w:r>
        <w:rPr>
          <w:rFonts w:hint="default" w:ascii="Times New Roman" w:hAnsi="Times New Roman" w:eastAsia="仿宋_GB2312" w:cs="Times New Roman"/>
          <w:b/>
          <w:sz w:val="32"/>
          <w:szCs w:val="32"/>
        </w:rPr>
        <w:t>第四部分 名词解释</w:t>
      </w:r>
    </w:p>
    <w:p>
      <w:pPr>
        <w:pStyle w:val="7"/>
        <w:adjustRightInd w:val="0"/>
        <w:snapToGrid w:val="0"/>
        <w:spacing w:line="400" w:lineRule="exact"/>
        <w:ind w:firstLine="643" w:firstLineChars="200"/>
        <w:rPr>
          <w:rFonts w:hint="default" w:ascii="Times New Roman" w:hAnsi="Times New Roman" w:eastAsia="仿宋_GB2312" w:cs="Times New Roman"/>
          <w:b/>
          <w:sz w:val="32"/>
          <w:szCs w:val="32"/>
        </w:rPr>
      </w:pPr>
      <w:r>
        <w:rPr>
          <w:rFonts w:hint="default" w:ascii="Times New Roman" w:hAnsi="Times New Roman" w:eastAsia="仿宋_GB2312" w:cs="Times New Roman"/>
          <w:b/>
          <w:sz w:val="32"/>
          <w:szCs w:val="32"/>
        </w:rPr>
        <w:t>第五部分 其它公开事项</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1、淮北市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w:t>
      </w:r>
      <w:r>
        <w:rPr>
          <w:rFonts w:hint="eastAsia" w:ascii="Times New Roman" w:hAnsi="Times New Roman" w:eastAsia="仿宋_GB2312" w:cs="Times New Roman"/>
          <w:bCs/>
          <w:sz w:val="32"/>
          <w:szCs w:val="32"/>
          <w:lang w:eastAsia="zh-CN"/>
        </w:rPr>
        <w:t>单位</w:t>
      </w:r>
      <w:r>
        <w:rPr>
          <w:rFonts w:hint="default" w:ascii="Times New Roman" w:hAnsi="Times New Roman" w:eastAsia="仿宋_GB2312" w:cs="Times New Roman"/>
          <w:bCs/>
          <w:sz w:val="32"/>
          <w:szCs w:val="32"/>
        </w:rPr>
        <w:t>预算纳入绩效考评项目表</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2、淮北市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Cs/>
          <w:sz w:val="32"/>
          <w:szCs w:val="32"/>
        </w:rPr>
        <w:t>2025年</w:t>
      </w:r>
      <w:r>
        <w:rPr>
          <w:rFonts w:hint="eastAsia" w:ascii="Times New Roman" w:hAnsi="Times New Roman" w:eastAsia="仿宋_GB2312" w:cs="Times New Roman"/>
          <w:bCs/>
          <w:sz w:val="32"/>
          <w:szCs w:val="32"/>
          <w:lang w:eastAsia="zh-CN"/>
        </w:rPr>
        <w:t>单位</w:t>
      </w:r>
      <w:r>
        <w:rPr>
          <w:rFonts w:hint="default" w:ascii="Times New Roman" w:hAnsi="Times New Roman" w:eastAsia="仿宋_GB2312" w:cs="Times New Roman"/>
          <w:bCs/>
          <w:sz w:val="32"/>
          <w:szCs w:val="32"/>
        </w:rPr>
        <w:t>预算专项资金管理清单（专栏公开）</w:t>
      </w:r>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bookmarkStart w:id="0" w:name="_GoBack"/>
      <w:bookmarkEnd w:id="0"/>
    </w:p>
    <w:p>
      <w:pPr>
        <w:pStyle w:val="7"/>
        <w:adjustRightInd w:val="0"/>
        <w:snapToGrid w:val="0"/>
        <w:spacing w:line="400" w:lineRule="exact"/>
        <w:ind w:firstLine="800" w:firstLineChars="250"/>
        <w:rPr>
          <w:rFonts w:hint="default" w:ascii="Times New Roman" w:hAnsi="Times New Roman" w:eastAsia="仿宋_GB2312" w:cs="Times New Roman"/>
          <w:bCs/>
          <w:sz w:val="32"/>
          <w:szCs w:val="32"/>
        </w:rPr>
      </w:pPr>
    </w:p>
    <w:p>
      <w:pPr>
        <w:pStyle w:val="7"/>
        <w:adjustRightInd w:val="0"/>
        <w:snapToGrid w:val="0"/>
        <w:spacing w:line="560" w:lineRule="exact"/>
        <w:jc w:val="center"/>
        <w:rPr>
          <w:rFonts w:hint="default" w:ascii="Times New Roman" w:hAnsi="Times New Roman" w:eastAsia="黑体" w:cs="Times New Roman"/>
          <w:bCs/>
          <w:sz w:val="36"/>
          <w:szCs w:val="36"/>
        </w:rPr>
      </w:pPr>
      <w:r>
        <w:rPr>
          <w:rFonts w:hint="default" w:ascii="Times New Roman" w:hAnsi="Times New Roman" w:eastAsia="黑体" w:cs="Times New Roman"/>
          <w:bCs/>
          <w:sz w:val="36"/>
          <w:szCs w:val="36"/>
        </w:rPr>
        <w:t xml:space="preserve">第一部分 </w:t>
      </w:r>
      <w:r>
        <w:rPr>
          <w:rFonts w:hint="eastAsia" w:ascii="Times New Roman" w:hAnsi="Times New Roman" w:eastAsia="黑体" w:cs="Times New Roman"/>
          <w:bCs/>
          <w:sz w:val="36"/>
          <w:szCs w:val="36"/>
          <w:lang w:eastAsia="zh-CN"/>
        </w:rPr>
        <w:t>单位</w:t>
      </w:r>
      <w:r>
        <w:rPr>
          <w:rFonts w:hint="default" w:ascii="Times New Roman" w:hAnsi="Times New Roman" w:eastAsia="黑体" w:cs="Times New Roman"/>
          <w:bCs/>
          <w:sz w:val="36"/>
          <w:szCs w:val="36"/>
        </w:rPr>
        <w:t>概况</w:t>
      </w:r>
    </w:p>
    <w:p>
      <w:pPr>
        <w:rPr>
          <w:rFonts w:hint="default" w:ascii="Times New Roman" w:hAnsi="Times New Roman" w:cs="Times New Roman"/>
        </w:rPr>
      </w:pPr>
    </w:p>
    <w:p>
      <w:pPr>
        <w:pStyle w:val="7"/>
        <w:adjustRightInd w:val="0"/>
        <w:snapToGrid w:val="0"/>
        <w:spacing w:line="560" w:lineRule="exact"/>
        <w:ind w:firstLine="627" w:firstLineChars="196"/>
        <w:rPr>
          <w:rFonts w:hint="default" w:ascii="Times New Roman" w:hAnsi="Times New Roman" w:eastAsia="黑体" w:cs="Times New Roman"/>
          <w:bCs/>
          <w:sz w:val="32"/>
          <w:szCs w:val="32"/>
          <w:highlight w:val="yellow"/>
        </w:rPr>
      </w:pPr>
      <w:r>
        <w:rPr>
          <w:rFonts w:hint="default" w:ascii="Times New Roman" w:hAnsi="Times New Roman" w:eastAsia="黑体" w:cs="Times New Roman"/>
          <w:bCs/>
          <w:sz w:val="32"/>
          <w:szCs w:val="32"/>
        </w:rPr>
        <w:t>一</w:t>
      </w:r>
      <w:r>
        <w:rPr>
          <w:rFonts w:hint="default" w:ascii="Times New Roman" w:hAnsi="Times New Roman" w:eastAsia="黑体" w:cs="Times New Roman"/>
          <w:bCs/>
          <w:sz w:val="32"/>
          <w:szCs w:val="32"/>
          <w:highlight w:val="none"/>
        </w:rPr>
        <w:t>、主要职责</w:t>
      </w:r>
    </w:p>
    <w:p>
      <w:pPr>
        <w:keepNext w:val="0"/>
        <w:keepLines w:val="0"/>
        <w:pageBreakBefore w:val="0"/>
        <w:widowControl w:val="0"/>
        <w:kinsoku/>
        <w:wordWrap/>
        <w:overflowPunct/>
        <w:topLinePunct w:val="0"/>
        <w:autoSpaceDE/>
        <w:autoSpaceDN/>
        <w:adjustRightInd/>
        <w:snapToGrid/>
        <w:spacing w:beforeAutospacing="0" w:afterAutospacing="0"/>
        <w:ind w:firstLine="640" w:firstLineChars="200"/>
        <w:rPr>
          <w:rFonts w:hint="eastAsia" w:ascii="TimesNewRoman" w:hAnsi="TimesNewRoman" w:eastAsia="仿宋_GB2312" w:cs="TimesNewRoman"/>
          <w:bCs/>
          <w:kern w:val="0"/>
          <w:sz w:val="32"/>
          <w:szCs w:val="32"/>
          <w:lang w:val="en-US" w:eastAsia="zh-CN" w:bidi="ar-SA"/>
        </w:rPr>
      </w:pPr>
      <w:r>
        <w:rPr>
          <w:rFonts w:hint="eastAsia" w:ascii="TimesNewRoman" w:hAnsi="TimesNewRoman" w:eastAsia="仿宋_GB2312" w:cs="TimesNewRoman"/>
          <w:bCs/>
          <w:kern w:val="0"/>
          <w:sz w:val="32"/>
          <w:szCs w:val="32"/>
          <w:lang w:val="en-US" w:eastAsia="zh-CN" w:bidi="ar-SA"/>
        </w:rPr>
        <w:t>（一）编制市重点项目建设计划，指导督促和考核评价计划实施。</w:t>
      </w:r>
    </w:p>
    <w:p>
      <w:pPr>
        <w:keepNext w:val="0"/>
        <w:keepLines w:val="0"/>
        <w:pageBreakBefore w:val="0"/>
        <w:widowControl w:val="0"/>
        <w:kinsoku/>
        <w:wordWrap/>
        <w:overflowPunct/>
        <w:topLinePunct w:val="0"/>
        <w:autoSpaceDE/>
        <w:autoSpaceDN/>
        <w:adjustRightInd/>
        <w:snapToGrid/>
        <w:spacing w:beforeAutospacing="0" w:afterAutospacing="0"/>
        <w:ind w:firstLine="640" w:firstLineChars="200"/>
        <w:rPr>
          <w:rFonts w:hint="eastAsia" w:ascii="TimesNewRoman" w:hAnsi="TimesNewRoman" w:eastAsia="仿宋_GB2312" w:cs="TimesNewRoman"/>
          <w:bCs/>
          <w:kern w:val="0"/>
          <w:sz w:val="32"/>
          <w:szCs w:val="32"/>
          <w:lang w:val="en-US" w:eastAsia="zh-CN" w:bidi="ar-SA"/>
        </w:rPr>
      </w:pPr>
      <w:r>
        <w:rPr>
          <w:rFonts w:hint="eastAsia" w:ascii="TimesNewRoman" w:hAnsi="TimesNewRoman" w:eastAsia="仿宋_GB2312" w:cs="TimesNewRoman"/>
          <w:bCs/>
          <w:kern w:val="0"/>
          <w:sz w:val="32"/>
          <w:szCs w:val="32"/>
          <w:lang w:val="en-US" w:eastAsia="zh-CN" w:bidi="ar-SA"/>
        </w:rPr>
        <w:t>（二）分析监测重点项目前期工作和实施情况，研究提出推进重点项目建设的政策措施建议，协调全市重大建设项目有关问题。</w:t>
      </w:r>
    </w:p>
    <w:p>
      <w:pPr>
        <w:keepNext w:val="0"/>
        <w:keepLines w:val="0"/>
        <w:pageBreakBefore w:val="0"/>
        <w:widowControl w:val="0"/>
        <w:kinsoku/>
        <w:wordWrap/>
        <w:overflowPunct/>
        <w:topLinePunct w:val="0"/>
        <w:autoSpaceDE/>
        <w:autoSpaceDN/>
        <w:adjustRightInd/>
        <w:snapToGrid/>
        <w:spacing w:beforeAutospacing="0" w:afterAutospacing="0"/>
        <w:ind w:firstLine="640" w:firstLineChars="200"/>
        <w:rPr>
          <w:rFonts w:hint="eastAsia" w:ascii="TimesNewRoman" w:hAnsi="TimesNewRoman" w:eastAsia="仿宋_GB2312" w:cs="TimesNewRoman"/>
          <w:bCs/>
          <w:kern w:val="0"/>
          <w:sz w:val="32"/>
          <w:szCs w:val="32"/>
          <w:lang w:val="en-US" w:eastAsia="zh-CN" w:bidi="ar-SA"/>
        </w:rPr>
      </w:pPr>
      <w:r>
        <w:rPr>
          <w:rFonts w:hint="eastAsia" w:ascii="TimesNewRoman" w:hAnsi="TimesNewRoman" w:eastAsia="仿宋_GB2312" w:cs="TimesNewRoman"/>
          <w:bCs/>
          <w:kern w:val="0"/>
          <w:sz w:val="32"/>
          <w:szCs w:val="32"/>
          <w:lang w:val="en-US" w:eastAsia="zh-CN" w:bidi="ar-SA"/>
        </w:rPr>
        <w:t>（三）组织指导全市重大项目谋划和储备。</w:t>
      </w:r>
    </w:p>
    <w:p>
      <w:pPr>
        <w:keepNext w:val="0"/>
        <w:keepLines w:val="0"/>
        <w:pageBreakBefore w:val="0"/>
        <w:widowControl w:val="0"/>
        <w:kinsoku/>
        <w:wordWrap/>
        <w:overflowPunct/>
        <w:topLinePunct w:val="0"/>
        <w:autoSpaceDE/>
        <w:autoSpaceDN/>
        <w:adjustRightInd/>
        <w:snapToGrid/>
        <w:spacing w:beforeAutospacing="0" w:afterAutospacing="0"/>
        <w:ind w:firstLine="640" w:firstLineChars="200"/>
        <w:rPr>
          <w:rFonts w:ascii="TimesNewRoman" w:hAnsi="TimesNewRoman" w:eastAsia="仿宋_GB2312" w:cs="TimesNewRoman"/>
          <w:bCs/>
          <w:kern w:val="0"/>
          <w:sz w:val="32"/>
          <w:szCs w:val="32"/>
          <w:lang w:val="en-US" w:eastAsia="zh-CN" w:bidi="ar-SA"/>
        </w:rPr>
      </w:pPr>
      <w:r>
        <w:rPr>
          <w:rFonts w:hint="eastAsia" w:ascii="TimesNewRoman" w:hAnsi="TimesNewRoman" w:eastAsia="仿宋_GB2312" w:cs="TimesNewRoman"/>
          <w:bCs/>
          <w:kern w:val="0"/>
          <w:sz w:val="32"/>
          <w:szCs w:val="32"/>
          <w:lang w:val="en-US" w:eastAsia="zh-CN" w:bidi="ar-SA"/>
        </w:rPr>
        <w:t xml:space="preserve">（四）承担市重点建设项目领导小组办公室日常工作。 </w:t>
      </w:r>
    </w:p>
    <w:p>
      <w:pPr>
        <w:keepNext w:val="0"/>
        <w:keepLines w:val="0"/>
        <w:pageBreakBefore w:val="0"/>
        <w:widowControl w:val="0"/>
        <w:kinsoku/>
        <w:wordWrap/>
        <w:overflowPunct/>
        <w:topLinePunct w:val="0"/>
        <w:autoSpaceDE/>
        <w:autoSpaceDN/>
        <w:adjustRightInd/>
        <w:snapToGrid/>
        <w:spacing w:beforeAutospacing="0" w:afterAutospacing="0"/>
        <w:ind w:firstLine="640" w:firstLineChars="200"/>
        <w:rPr>
          <w:rFonts w:hint="eastAsia" w:ascii="TimesNewRoman" w:hAnsi="TimesNewRoman" w:eastAsia="仿宋_GB2312" w:cs="TimesNewRoman"/>
          <w:bCs/>
          <w:kern w:val="0"/>
          <w:sz w:val="32"/>
          <w:szCs w:val="32"/>
          <w:lang w:val="en-US" w:eastAsia="zh-CN" w:bidi="ar-SA"/>
        </w:rPr>
      </w:pPr>
      <w:r>
        <w:rPr>
          <w:rFonts w:hint="eastAsia" w:ascii="TimesNewRoman" w:hAnsi="TimesNewRoman" w:eastAsia="仿宋_GB2312" w:cs="TimesNewRoman"/>
          <w:bCs/>
          <w:kern w:val="0"/>
          <w:sz w:val="32"/>
          <w:szCs w:val="32"/>
          <w:lang w:val="en-US" w:eastAsia="zh-CN" w:bidi="ar-SA"/>
        </w:rPr>
        <w:t>（五）统筹铁路发展规划与全市发展规划、计划的衔接平衡。组织编报铁路建设相关规划，按权限审核铁路建设项目，承担铁路建设项目布局节点衔接，以及项目前期和建设中相关重大问题的协调服务工作。</w:t>
      </w:r>
    </w:p>
    <w:p>
      <w:pPr>
        <w:keepNext w:val="0"/>
        <w:keepLines w:val="0"/>
        <w:pageBreakBefore w:val="0"/>
        <w:widowControl w:val="0"/>
        <w:kinsoku/>
        <w:wordWrap/>
        <w:overflowPunct/>
        <w:topLinePunct w:val="0"/>
        <w:autoSpaceDE/>
        <w:autoSpaceDN/>
        <w:adjustRightInd/>
        <w:snapToGrid/>
        <w:spacing w:beforeAutospacing="0" w:afterAutospacing="0"/>
        <w:ind w:firstLine="640" w:firstLineChars="200"/>
        <w:rPr>
          <w:rFonts w:hint="eastAsia" w:ascii="TimesNewRoman" w:hAnsi="TimesNewRoman" w:eastAsia="仿宋_GB2312" w:cs="TimesNewRoman"/>
          <w:bCs/>
          <w:kern w:val="0"/>
          <w:sz w:val="32"/>
          <w:szCs w:val="32"/>
          <w:lang w:val="en-US" w:eastAsia="zh-CN" w:bidi="ar-SA"/>
        </w:rPr>
      </w:pPr>
      <w:r>
        <w:rPr>
          <w:rFonts w:hint="eastAsia" w:ascii="TimesNewRoman" w:hAnsi="TimesNewRoman" w:eastAsia="仿宋_GB2312" w:cs="TimesNewRoman"/>
          <w:bCs/>
          <w:kern w:val="0"/>
          <w:sz w:val="32"/>
          <w:szCs w:val="32"/>
          <w:lang w:val="en-US" w:eastAsia="zh-CN" w:bidi="ar-SA"/>
        </w:rPr>
        <w:t>（六）负责地方铁路工程项目质量行政监管。</w:t>
      </w:r>
    </w:p>
    <w:p>
      <w:pPr>
        <w:keepNext w:val="0"/>
        <w:keepLines w:val="0"/>
        <w:pageBreakBefore w:val="0"/>
        <w:widowControl w:val="0"/>
        <w:kinsoku/>
        <w:wordWrap/>
        <w:overflowPunct/>
        <w:topLinePunct w:val="0"/>
        <w:autoSpaceDE/>
        <w:autoSpaceDN/>
        <w:adjustRightInd/>
        <w:snapToGrid/>
        <w:spacing w:beforeAutospacing="0" w:afterAutospacing="0"/>
        <w:ind w:firstLine="640" w:firstLineChars="200"/>
        <w:rPr>
          <w:rFonts w:hint="default" w:ascii="Times New Roman" w:hAnsi="Times New Roman" w:eastAsia="仿宋_GB2312" w:cs="Times New Roman"/>
          <w:sz w:val="32"/>
          <w:szCs w:val="32"/>
        </w:rPr>
      </w:pPr>
      <w:r>
        <w:rPr>
          <w:rFonts w:hint="eastAsia" w:ascii="TimesNewRoman" w:hAnsi="TimesNewRoman" w:eastAsia="仿宋_GB2312" w:cs="TimesNewRoman"/>
          <w:bCs/>
          <w:kern w:val="0"/>
          <w:sz w:val="32"/>
          <w:szCs w:val="32"/>
          <w:lang w:val="en-US" w:eastAsia="zh-CN" w:bidi="ar-SA"/>
        </w:rPr>
        <w:t>（七）承担市铁路建设协调领导小组办公室日常工作。</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二、</w:t>
      </w:r>
      <w:r>
        <w:rPr>
          <w:rFonts w:hint="eastAsia" w:ascii="Times New Roman" w:hAnsi="Times New Roman" w:eastAsia="黑体" w:cs="Times New Roman"/>
          <w:bCs/>
          <w:sz w:val="32"/>
          <w:szCs w:val="32"/>
          <w:lang w:eastAsia="zh-CN"/>
        </w:rPr>
        <w:t>单位</w:t>
      </w:r>
      <w:r>
        <w:rPr>
          <w:rFonts w:hint="default" w:ascii="Times New Roman" w:hAnsi="Times New Roman" w:eastAsia="黑体" w:cs="Times New Roman"/>
          <w:bCs/>
          <w:sz w:val="32"/>
          <w:szCs w:val="32"/>
        </w:rPr>
        <w:t>预算构成</w:t>
      </w:r>
    </w:p>
    <w:p>
      <w:pPr>
        <w:pStyle w:val="7"/>
        <w:adjustRightInd w:val="0"/>
        <w:snapToGrid w:val="0"/>
        <w:spacing w:line="560" w:lineRule="exact"/>
        <w:ind w:firstLine="627"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从预算单位构成看，</w:t>
      </w: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sz w:val="32"/>
          <w:szCs w:val="32"/>
        </w:rPr>
        <w:t>2025年度</w:t>
      </w:r>
      <w:r>
        <w:rPr>
          <w:rFonts w:hint="default" w:ascii="Times New Roman" w:hAnsi="Times New Roman" w:eastAsia="仿宋_GB2312" w:cs="Times New Roman"/>
          <w:sz w:val="32"/>
          <w:szCs w:val="32"/>
          <w:lang w:eastAsia="zh-CN"/>
        </w:rPr>
        <w:t>单位</w:t>
      </w:r>
      <w:r>
        <w:rPr>
          <w:rFonts w:hint="default" w:ascii="Times New Roman" w:hAnsi="Times New Roman" w:eastAsia="仿宋_GB2312" w:cs="Times New Roman"/>
          <w:sz w:val="32"/>
          <w:szCs w:val="32"/>
        </w:rPr>
        <w:t>预算仅包括</w:t>
      </w: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sz w:val="32"/>
          <w:szCs w:val="32"/>
        </w:rPr>
        <w:t>预算，无其他下属单位预算。</w:t>
      </w:r>
    </w:p>
    <w:p>
      <w:pPr>
        <w:pStyle w:val="7"/>
        <w:adjustRightInd w:val="0"/>
        <w:snapToGrid w:val="0"/>
        <w:spacing w:line="560" w:lineRule="exact"/>
        <w:ind w:firstLine="627" w:firstLineChars="196"/>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三、2025年度主要工作任务</w:t>
      </w:r>
    </w:p>
    <w:p>
      <w:pPr>
        <w:pStyle w:val="5"/>
        <w:keepNext w:val="0"/>
        <w:keepLines w:val="0"/>
        <w:pageBreakBefore w:val="0"/>
        <w:widowControl w:val="0"/>
        <w:numPr>
          <w:ilvl w:val="0"/>
          <w:numId w:val="0"/>
        </w:numPr>
        <w:kinsoku/>
        <w:wordWrap/>
        <w:overflowPunct/>
        <w:topLinePunct w:val="0"/>
        <w:autoSpaceDE/>
        <w:autoSpaceDN/>
        <w:bidi w:val="0"/>
        <w:snapToGrid/>
        <w:spacing w:after="0" w:line="580" w:lineRule="exact"/>
        <w:ind w:firstLine="642"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仿宋_GB2312" w:hAnsi="Times New Roman" w:eastAsia="仿宋_GB2312" w:cs="Times New Roman"/>
          <w:bCs/>
          <w:color w:val="auto"/>
          <w:sz w:val="32"/>
          <w:szCs w:val="32"/>
          <w:lang w:eastAsia="zh-CN"/>
        </w:rPr>
        <w:t>（一）坚持抓主抓重，强化项目调度。以市领导联系、包保重点项目为抓手，以省、市重点项目建设为</w:t>
      </w:r>
      <w:r>
        <w:rPr>
          <w:rFonts w:hint="eastAsia" w:ascii="仿宋_GB2312" w:eastAsia="仿宋_GB2312"/>
          <w:bCs/>
          <w:color w:val="auto"/>
          <w:sz w:val="32"/>
          <w:szCs w:val="32"/>
          <w:lang w:eastAsia="zh-CN"/>
        </w:rPr>
        <w:t>重点，</w:t>
      </w:r>
      <w:r>
        <w:rPr>
          <w:rFonts w:hint="eastAsia" w:eastAsia="仿宋_GB2312"/>
          <w:color w:val="auto"/>
          <w:sz w:val="32"/>
          <w:szCs w:val="32"/>
        </w:rPr>
        <w:t>围绕新建、续建、竣工、储备</w:t>
      </w:r>
      <w:r>
        <w:rPr>
          <w:rFonts w:hint="eastAsia" w:eastAsia="仿宋_GB2312"/>
          <w:color w:val="auto"/>
          <w:sz w:val="32"/>
          <w:szCs w:val="32"/>
          <w:lang w:eastAsia="zh-CN"/>
        </w:rPr>
        <w:t>、谋划</w:t>
      </w:r>
      <w:r>
        <w:rPr>
          <w:rFonts w:hint="eastAsia" w:eastAsia="仿宋_GB2312"/>
          <w:color w:val="auto"/>
          <w:sz w:val="32"/>
          <w:szCs w:val="32"/>
        </w:rPr>
        <w:t>等关键环节，加强项目调</w:t>
      </w:r>
      <w:r>
        <w:rPr>
          <w:rFonts w:hint="eastAsia" w:ascii="仿宋_GB2312" w:hAnsi="Times New Roman" w:eastAsia="仿宋_GB2312" w:cs="Times New Roman"/>
          <w:bCs/>
          <w:color w:val="auto"/>
          <w:sz w:val="32"/>
          <w:szCs w:val="32"/>
          <w:lang w:eastAsia="zh-CN"/>
        </w:rPr>
        <w:t>度，着力提高“四率”。一是</w:t>
      </w:r>
      <w:r>
        <w:rPr>
          <w:rFonts w:hint="default" w:ascii="仿宋_GB2312" w:hAnsi="Times New Roman" w:eastAsia="仿宋_GB2312" w:cs="Times New Roman"/>
          <w:bCs/>
          <w:color w:val="auto"/>
          <w:sz w:val="32"/>
          <w:szCs w:val="32"/>
          <w:lang w:val="en-US" w:eastAsia="zh-CN"/>
        </w:rPr>
        <w:t>加强对全市重</w:t>
      </w:r>
      <w:r>
        <w:rPr>
          <w:rFonts w:hint="eastAsia" w:ascii="仿宋_GB2312" w:hAnsi="Times New Roman" w:eastAsia="仿宋_GB2312" w:cs="Times New Roman"/>
          <w:bCs/>
          <w:color w:val="auto"/>
          <w:sz w:val="32"/>
          <w:szCs w:val="32"/>
          <w:lang w:val="en-US" w:eastAsia="zh-CN"/>
        </w:rPr>
        <w:t>点</w:t>
      </w:r>
      <w:r>
        <w:rPr>
          <w:rFonts w:hint="default" w:ascii="仿宋_GB2312" w:hAnsi="Times New Roman" w:eastAsia="仿宋_GB2312" w:cs="Times New Roman"/>
          <w:bCs/>
          <w:color w:val="auto"/>
          <w:sz w:val="32"/>
          <w:szCs w:val="32"/>
          <w:lang w:val="en-US" w:eastAsia="zh-CN"/>
        </w:rPr>
        <w:t>项目建设工作的统筹调度</w:t>
      </w:r>
      <w:r>
        <w:rPr>
          <w:rFonts w:hint="eastAsia" w:ascii="仿宋_GB2312" w:hAnsi="Times New Roman" w:eastAsia="仿宋_GB2312" w:cs="Times New Roman"/>
          <w:bCs/>
          <w:color w:val="auto"/>
          <w:sz w:val="32"/>
          <w:szCs w:val="32"/>
          <w:lang w:val="en-US" w:eastAsia="zh-CN"/>
        </w:rPr>
        <w:t>，</w:t>
      </w:r>
      <w:r>
        <w:rPr>
          <w:rFonts w:hint="eastAsia" w:ascii="仿宋_GB2312" w:hAnsi="Times New Roman" w:eastAsia="仿宋_GB2312" w:cs="Times New Roman"/>
          <w:bCs/>
          <w:color w:val="auto"/>
          <w:sz w:val="32"/>
          <w:szCs w:val="32"/>
          <w:lang w:eastAsia="zh-CN"/>
        </w:rPr>
        <w:t>充分发挥“分级分层”项目调度机制作用，</w:t>
      </w:r>
      <w:r>
        <w:rPr>
          <w:rFonts w:hint="default" w:ascii="仿宋_GB2312" w:hAnsi="Times New Roman" w:eastAsia="仿宋_GB2312" w:cs="Times New Roman"/>
          <w:bCs/>
          <w:color w:val="auto"/>
          <w:sz w:val="32"/>
          <w:szCs w:val="32"/>
          <w:lang w:val="en-US" w:eastAsia="zh-CN"/>
        </w:rPr>
        <w:t>坚持问题导向，定期摸排项目推进中遇到的各类问题和困难，</w:t>
      </w:r>
      <w:r>
        <w:rPr>
          <w:rFonts w:hint="eastAsia" w:ascii="仿宋_GB2312" w:hAnsi="Times New Roman" w:eastAsia="仿宋_GB2312" w:cs="Times New Roman"/>
          <w:bCs/>
          <w:color w:val="auto"/>
          <w:sz w:val="32"/>
          <w:szCs w:val="32"/>
          <w:lang w:eastAsia="zh-CN"/>
        </w:rPr>
        <w:t>落实任务交办单工作机制，明确整改措施和解决时限，</w:t>
      </w:r>
      <w:r>
        <w:rPr>
          <w:rFonts w:hint="eastAsia" w:ascii="仿宋_GB2312" w:hAnsi="Times New Roman" w:eastAsia="仿宋_GB2312" w:cs="Times New Roman"/>
          <w:bCs/>
          <w:color w:val="auto"/>
          <w:sz w:val="32"/>
          <w:szCs w:val="32"/>
          <w:lang w:val="en-US" w:eastAsia="zh-CN"/>
        </w:rPr>
        <w:t>做好</w:t>
      </w:r>
      <w:r>
        <w:rPr>
          <w:rFonts w:hint="default" w:ascii="仿宋_GB2312" w:hAnsi="Times New Roman" w:eastAsia="仿宋_GB2312" w:cs="Times New Roman"/>
          <w:bCs/>
          <w:color w:val="auto"/>
          <w:sz w:val="32"/>
          <w:szCs w:val="32"/>
          <w:lang w:val="en-US" w:eastAsia="zh-CN"/>
        </w:rPr>
        <w:t>跟踪督办。</w:t>
      </w:r>
      <w:r>
        <w:rPr>
          <w:rFonts w:hint="eastAsia" w:ascii="仿宋_GB2312" w:hAnsi="Times New Roman" w:eastAsia="仿宋_GB2312" w:cs="Times New Roman"/>
          <w:bCs/>
          <w:color w:val="auto"/>
          <w:sz w:val="32"/>
          <w:szCs w:val="32"/>
          <w:lang w:val="en-US" w:eastAsia="zh-CN"/>
        </w:rPr>
        <w:t>二是通过重点项目闭环管理系统对全市重点项目实行进度监控，</w:t>
      </w:r>
      <w:r>
        <w:rPr>
          <w:rFonts w:hint="eastAsia" w:ascii="仿宋_GB2312" w:hAnsi="Times New Roman" w:eastAsia="仿宋_GB2312" w:cs="Times New Roman"/>
          <w:bCs/>
          <w:color w:val="auto"/>
          <w:sz w:val="32"/>
          <w:szCs w:val="32"/>
          <w:lang w:eastAsia="zh-CN"/>
        </w:rPr>
        <w:t>及时更新项目建设动态，</w:t>
      </w:r>
      <w:r>
        <w:rPr>
          <w:rFonts w:hint="eastAsia" w:ascii="仿宋_GB2312" w:hAnsi="Times New Roman" w:eastAsia="仿宋_GB2312" w:cs="Times New Roman"/>
          <w:bCs/>
          <w:color w:val="auto"/>
          <w:sz w:val="32"/>
          <w:szCs w:val="32"/>
          <w:lang w:val="en-US" w:eastAsia="zh-CN"/>
        </w:rPr>
        <w:t>对项目的开、竣工和正常推进情况进行实时预警，</w:t>
      </w:r>
      <w:r>
        <w:rPr>
          <w:rFonts w:hint="eastAsia" w:ascii="仿宋_GB2312" w:hAnsi="Times New Roman" w:eastAsia="仿宋_GB2312" w:cs="Times New Roman"/>
          <w:bCs/>
          <w:color w:val="auto"/>
          <w:sz w:val="32"/>
          <w:szCs w:val="32"/>
          <w:lang w:eastAsia="zh-CN"/>
        </w:rPr>
        <w:t>综合运用挂图作战、倒排工期、台账管理等调度方式，定期跟踪问题解决情况，做到精准调度。</w:t>
      </w:r>
      <w:r>
        <w:rPr>
          <w:rFonts w:hint="eastAsia" w:ascii="仿宋_GB2312" w:hAnsi="Times New Roman" w:eastAsia="仿宋_GB2312" w:cs="Times New Roman"/>
          <w:bCs/>
          <w:color w:val="auto"/>
          <w:sz w:val="32"/>
          <w:szCs w:val="32"/>
          <w:lang w:val="en-US" w:eastAsia="zh-CN"/>
        </w:rPr>
        <w:t>三是根据省委、省政府统一部署，抓好重大项目开工动员活动，并持续跟进开</w:t>
      </w:r>
      <w:r>
        <w:rPr>
          <w:rFonts w:hint="eastAsia" w:eastAsia="仿宋_GB2312"/>
          <w:color w:val="auto"/>
          <w:sz w:val="32"/>
          <w:szCs w:val="32"/>
          <w:lang w:val="en-US" w:eastAsia="zh-CN"/>
        </w:rPr>
        <w:t>工动员项目进展情况，确保项目实质开工、按计划推进，及时纳统等。</w:t>
      </w:r>
    </w:p>
    <w:p>
      <w:pPr>
        <w:pStyle w:val="5"/>
        <w:keepNext w:val="0"/>
        <w:keepLines w:val="0"/>
        <w:pageBreakBefore w:val="0"/>
        <w:widowControl w:val="0"/>
        <w:numPr>
          <w:ilvl w:val="0"/>
          <w:numId w:val="0"/>
        </w:numPr>
        <w:kinsoku/>
        <w:wordWrap/>
        <w:overflowPunct/>
        <w:topLinePunct w:val="0"/>
        <w:autoSpaceDE/>
        <w:autoSpaceDN/>
        <w:bidi w:val="0"/>
        <w:snapToGrid/>
        <w:spacing w:after="0" w:line="580" w:lineRule="exact"/>
        <w:ind w:firstLine="642" w:firstLineChars="200"/>
        <w:textAlignment w:val="auto"/>
        <w:rPr>
          <w:rFonts w:hint="eastAsia" w:ascii="仿宋_GB2312" w:hAnsi="Times New Roman" w:eastAsia="仿宋_GB2312" w:cs="Times New Roman"/>
          <w:bCs/>
          <w:color w:val="auto"/>
          <w:sz w:val="32"/>
          <w:szCs w:val="32"/>
          <w:lang w:eastAsia="zh-CN"/>
        </w:rPr>
      </w:pPr>
      <w:r>
        <w:rPr>
          <w:rFonts w:hint="eastAsia" w:ascii="仿宋_GB2312" w:hAnsi="Times New Roman" w:eastAsia="仿宋_GB2312" w:cs="Times New Roman"/>
          <w:bCs/>
          <w:color w:val="auto"/>
          <w:sz w:val="32"/>
          <w:szCs w:val="32"/>
          <w:lang w:eastAsia="zh-CN"/>
        </w:rPr>
        <w:t>（二）坚持目标导向，积极争先进位。</w:t>
      </w:r>
      <w:r>
        <w:rPr>
          <w:rFonts w:hint="eastAsia" w:ascii="仿宋_GB2312" w:hAnsi="Times New Roman" w:eastAsia="仿宋_GB2312" w:cs="Times New Roman"/>
          <w:bCs/>
          <w:color w:val="auto"/>
          <w:sz w:val="32"/>
          <w:szCs w:val="32"/>
          <w:lang w:val="en-US" w:eastAsia="zh-CN"/>
        </w:rPr>
        <w:t>对照省、市重点项目目标考核要求，</w:t>
      </w:r>
      <w:r>
        <w:rPr>
          <w:rFonts w:hint="eastAsia" w:ascii="仿宋_GB2312" w:hAnsi="Times New Roman" w:eastAsia="仿宋_GB2312" w:cs="Times New Roman"/>
          <w:bCs/>
          <w:color w:val="auto"/>
          <w:sz w:val="32"/>
          <w:szCs w:val="32"/>
          <w:lang w:eastAsia="zh-CN"/>
        </w:rPr>
        <w:t>以目标引领推动工作落实，树立争先进位意识，</w:t>
      </w:r>
      <w:r>
        <w:rPr>
          <w:rFonts w:hint="eastAsia" w:ascii="仿宋_GB2312" w:hAnsi="Times New Roman" w:eastAsia="仿宋_GB2312" w:cs="Times New Roman"/>
          <w:bCs/>
          <w:color w:val="auto"/>
          <w:sz w:val="32"/>
          <w:szCs w:val="32"/>
          <w:lang w:val="en-US" w:eastAsia="zh-CN"/>
        </w:rPr>
        <w:t>对项目实行全过程清单式管理，查缺补漏，完善前期手续要件、建设进度资料、竣工验收资料等，确保已开工、已竣工项目能够及时通过省级审核确认。</w:t>
      </w:r>
      <w:r>
        <w:rPr>
          <w:rFonts w:hint="eastAsia" w:ascii="仿宋_GB2312" w:hAnsi="Times New Roman" w:eastAsia="仿宋_GB2312" w:cs="Times New Roman"/>
          <w:bCs/>
          <w:color w:val="auto"/>
          <w:sz w:val="32"/>
          <w:szCs w:val="32"/>
          <w:lang w:eastAsia="zh-CN"/>
        </w:rPr>
        <w:t>加强与省重点办的沟通协调，争取在土地指标、资金等政策方面对淮北的支持，加强要素保障，助推重点项目建设。</w:t>
      </w:r>
    </w:p>
    <w:p>
      <w:pPr>
        <w:pStyle w:val="5"/>
        <w:keepNext w:val="0"/>
        <w:keepLines w:val="0"/>
        <w:pageBreakBefore w:val="0"/>
        <w:widowControl w:val="0"/>
        <w:numPr>
          <w:ilvl w:val="0"/>
          <w:numId w:val="0"/>
        </w:numPr>
        <w:kinsoku/>
        <w:wordWrap/>
        <w:overflowPunct/>
        <w:topLinePunct w:val="0"/>
        <w:autoSpaceDE/>
        <w:autoSpaceDN/>
        <w:bidi w:val="0"/>
        <w:snapToGrid/>
        <w:spacing w:after="0" w:line="580" w:lineRule="exact"/>
        <w:ind w:firstLine="642" w:firstLineChars="200"/>
        <w:textAlignment w:val="auto"/>
        <w:rPr>
          <w:rFonts w:hint="default" w:eastAsia="仿宋_GB2312"/>
          <w:bCs/>
          <w:color w:val="auto"/>
          <w:sz w:val="32"/>
          <w:szCs w:val="32"/>
          <w:lang w:val="en-US"/>
        </w:rPr>
      </w:pPr>
      <w:r>
        <w:rPr>
          <w:rFonts w:hint="eastAsia" w:ascii="仿宋_GB2312" w:hAnsi="Times New Roman" w:eastAsia="仿宋_GB2312" w:cs="Times New Roman"/>
          <w:bCs/>
          <w:color w:val="auto"/>
          <w:sz w:val="32"/>
          <w:szCs w:val="32"/>
          <w:lang w:eastAsia="zh-CN"/>
        </w:rPr>
        <w:t>（三）加强项目谋划，抓好项目储备。瞄</w:t>
      </w:r>
      <w:r>
        <w:rPr>
          <w:rFonts w:hint="eastAsia" w:ascii="Times New Roman" w:hAnsi="Times New Roman" w:eastAsia="仿宋_GB2312" w:cs="Times New Roman"/>
          <w:color w:val="auto"/>
          <w:sz w:val="32"/>
          <w:szCs w:val="32"/>
        </w:rPr>
        <w:t>准中央宏观政策导向和支持重点，聚焦新基建、新型城镇化建设、民生补</w:t>
      </w:r>
      <w:r>
        <w:rPr>
          <w:rFonts w:hint="eastAsia" w:ascii="Times New Roman" w:hAnsi="Times New Roman" w:eastAsia="仿宋_GB2312"/>
          <w:color w:val="auto"/>
          <w:sz w:val="32"/>
          <w:szCs w:val="32"/>
        </w:rPr>
        <w:t>短板等领域，谋深谋实一批重大支撑性项目</w:t>
      </w:r>
      <w:r>
        <w:rPr>
          <w:rFonts w:hint="eastAsia" w:eastAsia="仿宋_GB2312"/>
          <w:color w:val="auto"/>
          <w:sz w:val="32"/>
          <w:szCs w:val="32"/>
        </w:rPr>
        <w:t>；</w:t>
      </w:r>
      <w:r>
        <w:rPr>
          <w:rFonts w:ascii="Times New Roman" w:hAnsi="Times New Roman" w:eastAsia="仿宋_GB2312"/>
          <w:color w:val="auto"/>
          <w:sz w:val="32"/>
          <w:szCs w:val="32"/>
        </w:rPr>
        <w:t>围绕产业转型升级等领域，</w:t>
      </w:r>
      <w:r>
        <w:rPr>
          <w:rFonts w:hint="eastAsia" w:eastAsia="仿宋_GB2312"/>
          <w:color w:val="auto"/>
          <w:sz w:val="32"/>
          <w:szCs w:val="32"/>
        </w:rPr>
        <w:t>积极</w:t>
      </w:r>
      <w:r>
        <w:rPr>
          <w:rFonts w:ascii="Times New Roman" w:hAnsi="Times New Roman" w:eastAsia="仿宋_GB2312"/>
          <w:color w:val="auto"/>
          <w:sz w:val="32"/>
          <w:szCs w:val="32"/>
        </w:rPr>
        <w:t>谋划储备一批</w:t>
      </w:r>
      <w:r>
        <w:rPr>
          <w:rFonts w:hint="eastAsia" w:ascii="Times New Roman" w:hAnsi="Times New Roman" w:eastAsia="仿宋_GB2312"/>
          <w:color w:val="auto"/>
          <w:sz w:val="32"/>
          <w:szCs w:val="32"/>
        </w:rPr>
        <w:t>体量大、质效高、带动性强</w:t>
      </w:r>
      <w:r>
        <w:rPr>
          <w:rFonts w:ascii="Times New Roman" w:hAnsi="Times New Roman" w:eastAsia="仿宋_GB2312"/>
          <w:color w:val="auto"/>
          <w:sz w:val="32"/>
          <w:szCs w:val="32"/>
        </w:rPr>
        <w:t>的重大项目，</w:t>
      </w:r>
      <w:r>
        <w:rPr>
          <w:rFonts w:hint="eastAsia" w:ascii="Times New Roman" w:hAnsi="Times New Roman" w:eastAsia="仿宋_GB2312"/>
          <w:color w:val="auto"/>
          <w:sz w:val="32"/>
          <w:szCs w:val="32"/>
        </w:rPr>
        <w:t>努力</w:t>
      </w:r>
      <w:r>
        <w:rPr>
          <w:rFonts w:ascii="Times New Roman" w:hAnsi="Times New Roman" w:eastAsia="仿宋_GB2312"/>
          <w:color w:val="auto"/>
          <w:sz w:val="32"/>
          <w:szCs w:val="32"/>
        </w:rPr>
        <w:t>形成“竣工一批、开工一批、储备一批、谋划一批”的项目推进格局</w:t>
      </w:r>
      <w:r>
        <w:rPr>
          <w:rFonts w:hint="eastAsia" w:ascii="Times New Roman" w:hAnsi="Times New Roman" w:eastAsia="仿宋_GB2312"/>
          <w:color w:val="auto"/>
          <w:sz w:val="32"/>
          <w:szCs w:val="32"/>
        </w:rPr>
        <w:t>，为淮北更高质量转型发展增添后劲</w:t>
      </w:r>
      <w:r>
        <w:rPr>
          <w:rFonts w:ascii="Times New Roman" w:hAnsi="Times New Roman" w:eastAsia="仿宋_GB2312"/>
          <w:color w:val="auto"/>
          <w:sz w:val="32"/>
          <w:szCs w:val="32"/>
        </w:rPr>
        <w:t>。</w:t>
      </w:r>
    </w:p>
    <w:p>
      <w:pPr>
        <w:pStyle w:val="7"/>
        <w:adjustRightInd w:val="0"/>
        <w:snapToGrid w:val="0"/>
        <w:spacing w:line="560" w:lineRule="exact"/>
        <w:ind w:firstLine="627" w:firstLineChars="196"/>
        <w:rPr>
          <w:rFonts w:hint="default" w:ascii="Times New Roman" w:hAnsi="Times New Roman" w:eastAsia="黑体" w:cs="Times New Roman"/>
          <w:bCs/>
          <w:sz w:val="32"/>
          <w:szCs w:val="32"/>
          <w:highlight w:val="yellow"/>
        </w:rPr>
      </w:pPr>
    </w:p>
    <w:p>
      <w:pPr>
        <w:rPr>
          <w:rFonts w:hint="default" w:ascii="Times New Roman" w:hAnsi="Times New Roman" w:cs="Times New Roman"/>
        </w:rPr>
      </w:pPr>
      <w:r>
        <w:rPr>
          <w:rFonts w:hint="default" w:ascii="Times New Roman" w:hAnsi="Times New Roman" w:eastAsia="仿宋_GB2312" w:cs="Times New Roman"/>
          <w:sz w:val="32"/>
          <w:szCs w:val="32"/>
          <w:lang w:val="en-US" w:eastAsia="zh-CN"/>
        </w:rPr>
        <w:t xml:space="preserve">    </w:t>
      </w:r>
    </w:p>
    <w:p>
      <w:pPr>
        <w:pStyle w:val="7"/>
        <w:adjustRightInd w:val="0"/>
        <w:snapToGrid w:val="0"/>
        <w:spacing w:line="560" w:lineRule="exact"/>
        <w:jc w:val="center"/>
        <w:rPr>
          <w:rFonts w:hint="default" w:ascii="Times New Roman" w:hAnsi="Times New Roman" w:eastAsia="黑体" w:cs="Times New Roman"/>
          <w:bCs/>
          <w:sz w:val="36"/>
          <w:szCs w:val="36"/>
        </w:rPr>
      </w:pPr>
      <w:r>
        <w:rPr>
          <w:rFonts w:hint="default" w:ascii="Times New Roman" w:hAnsi="Times New Roman" w:eastAsia="黑体" w:cs="Times New Roman"/>
          <w:bCs/>
          <w:sz w:val="36"/>
          <w:szCs w:val="36"/>
        </w:rPr>
        <w:t>第二部分 2025年</w:t>
      </w:r>
      <w:r>
        <w:rPr>
          <w:rFonts w:hint="eastAsia" w:ascii="Times New Roman" w:hAnsi="Times New Roman" w:eastAsia="黑体" w:cs="Times New Roman"/>
          <w:bCs/>
          <w:sz w:val="36"/>
          <w:szCs w:val="36"/>
          <w:lang w:eastAsia="zh-CN"/>
        </w:rPr>
        <w:t>单位</w:t>
      </w:r>
      <w:r>
        <w:rPr>
          <w:rFonts w:hint="default" w:ascii="Times New Roman" w:hAnsi="Times New Roman" w:eastAsia="黑体" w:cs="Times New Roman"/>
          <w:bCs/>
          <w:sz w:val="36"/>
          <w:szCs w:val="36"/>
        </w:rPr>
        <w:t>预算表</w:t>
      </w:r>
    </w:p>
    <w:p>
      <w:pPr>
        <w:pStyle w:val="7"/>
        <w:adjustRightInd w:val="0"/>
        <w:snapToGrid w:val="0"/>
        <w:spacing w:line="560" w:lineRule="exact"/>
        <w:ind w:firstLine="627" w:firstLineChars="196"/>
        <w:jc w:val="center"/>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见附件1-2</w:t>
      </w:r>
    </w:p>
    <w:p>
      <w:pPr>
        <w:rPr>
          <w:rFonts w:hint="default" w:ascii="Times New Roman" w:hAnsi="Times New Roman" w:cs="Times New Roman"/>
        </w:rPr>
      </w:pPr>
      <w:r>
        <w:rPr>
          <w:rFonts w:hint="default" w:ascii="Times New Roman" w:hAnsi="Times New Roman" w:cs="Times New Roman"/>
        </w:rPr>
        <w:t xml:space="preserve">                                        </w:t>
      </w:r>
    </w:p>
    <w:p>
      <w:pPr>
        <w:pStyle w:val="7"/>
        <w:adjustRightInd w:val="0"/>
        <w:snapToGrid w:val="0"/>
        <w:spacing w:line="560" w:lineRule="exact"/>
        <w:jc w:val="center"/>
        <w:rPr>
          <w:rFonts w:hint="default" w:ascii="Times New Roman" w:hAnsi="Times New Roman" w:eastAsia="黑体" w:cs="Times New Roman"/>
          <w:bCs/>
          <w:sz w:val="36"/>
          <w:szCs w:val="36"/>
        </w:rPr>
      </w:pPr>
      <w:r>
        <w:rPr>
          <w:rFonts w:hint="default" w:ascii="Times New Roman" w:hAnsi="Times New Roman" w:eastAsia="黑体" w:cs="Times New Roman"/>
          <w:bCs/>
          <w:sz w:val="36"/>
          <w:szCs w:val="36"/>
        </w:rPr>
        <w:t>第三部分 2025年</w:t>
      </w:r>
      <w:r>
        <w:rPr>
          <w:rFonts w:hint="eastAsia" w:ascii="Times New Roman" w:hAnsi="Times New Roman" w:eastAsia="黑体" w:cs="Times New Roman"/>
          <w:bCs/>
          <w:sz w:val="36"/>
          <w:szCs w:val="36"/>
          <w:lang w:eastAsia="zh-CN"/>
        </w:rPr>
        <w:t>单位</w:t>
      </w:r>
      <w:r>
        <w:rPr>
          <w:rFonts w:hint="default" w:ascii="Times New Roman" w:hAnsi="Times New Roman" w:eastAsia="黑体" w:cs="Times New Roman"/>
          <w:bCs/>
          <w:sz w:val="36"/>
          <w:szCs w:val="36"/>
        </w:rPr>
        <w:t>预算情况说明</w:t>
      </w:r>
    </w:p>
    <w:p>
      <w:pPr>
        <w:rPr>
          <w:rFonts w:hint="default" w:ascii="Times New Roman" w:hAnsi="Times New Roman" w:cs="Times New Roman"/>
        </w:rPr>
      </w:pP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一、关于2025年收支总表的说明</w:t>
      </w:r>
    </w:p>
    <w:p>
      <w:pPr>
        <w:pStyle w:val="7"/>
        <w:adjustRightInd w:val="0"/>
        <w:snapToGrid w:val="0"/>
        <w:spacing w:line="560" w:lineRule="exact"/>
        <w:ind w:firstLine="627"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按照综合预算的原则，</w:t>
      </w: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sz w:val="32"/>
          <w:szCs w:val="32"/>
        </w:rPr>
        <w:t>所有收入和支出均纳入部门预算管理。</w:t>
      </w: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sz w:val="32"/>
          <w:szCs w:val="32"/>
        </w:rPr>
        <w:t>2025年收支总预算</w:t>
      </w:r>
      <w:r>
        <w:rPr>
          <w:rFonts w:hint="eastAsia" w:ascii="Times New Roman" w:hAnsi="Times New Roman" w:eastAsia="仿宋_GB2312" w:cs="Times New Roman"/>
          <w:sz w:val="32"/>
          <w:szCs w:val="32"/>
          <w:lang w:val="en-US" w:eastAsia="zh-CN"/>
        </w:rPr>
        <w:t>8548.05</w:t>
      </w:r>
      <w:r>
        <w:rPr>
          <w:rFonts w:hint="default" w:ascii="Times New Roman" w:hAnsi="Times New Roman" w:eastAsia="仿宋_GB2312" w:cs="Times New Roman"/>
          <w:sz w:val="32"/>
          <w:szCs w:val="32"/>
        </w:rPr>
        <w:t>万元，收入全部是一般公共预算拨款收入</w:t>
      </w:r>
      <w:r>
        <w:rPr>
          <w:rFonts w:hint="eastAsia" w:ascii="Times New Roman" w:hAnsi="Times New Roman" w:eastAsia="仿宋_GB2312" w:cs="Times New Roman"/>
          <w:sz w:val="32"/>
          <w:szCs w:val="32"/>
          <w:lang w:val="en-US" w:eastAsia="zh-CN"/>
        </w:rPr>
        <w:t>8548.05</w:t>
      </w:r>
      <w:r>
        <w:rPr>
          <w:rFonts w:hint="default" w:ascii="Times New Roman" w:hAnsi="Times New Roman" w:eastAsia="仿宋_GB2312" w:cs="Times New Roman"/>
          <w:sz w:val="32"/>
          <w:szCs w:val="32"/>
        </w:rPr>
        <w:t>万元，支出包括：一般公共服务支出、社会保障和就业支出、卫生健康支出、交通运输支出、住房保障支出。</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二、关于2025年收入总表的说明</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kern w:val="0"/>
          <w:sz w:val="32"/>
          <w:szCs w:val="32"/>
        </w:rPr>
        <w:t>2025年收入预算</w:t>
      </w:r>
      <w:r>
        <w:rPr>
          <w:rFonts w:hint="eastAsia" w:ascii="Times New Roman" w:hAnsi="Times New Roman" w:eastAsia="仿宋_GB2312" w:cs="Times New Roman"/>
          <w:sz w:val="32"/>
          <w:szCs w:val="32"/>
          <w:lang w:val="en-US" w:eastAsia="zh-CN"/>
        </w:rPr>
        <w:t>8548.05</w:t>
      </w:r>
      <w:r>
        <w:rPr>
          <w:rFonts w:hint="default" w:ascii="Times New Roman" w:hAnsi="Times New Roman" w:eastAsia="仿宋_GB2312" w:cs="Times New Roman"/>
          <w:kern w:val="0"/>
          <w:sz w:val="32"/>
          <w:szCs w:val="32"/>
        </w:rPr>
        <w:t>万元，其中，本年收入</w:t>
      </w:r>
      <w:r>
        <w:rPr>
          <w:rFonts w:hint="eastAsia" w:ascii="Times New Roman" w:hAnsi="Times New Roman" w:eastAsia="仿宋_GB2312" w:cs="Times New Roman"/>
          <w:sz w:val="32"/>
          <w:szCs w:val="32"/>
          <w:lang w:val="en-US" w:eastAsia="zh-CN"/>
        </w:rPr>
        <w:t>8548.05</w:t>
      </w:r>
      <w:r>
        <w:rPr>
          <w:rFonts w:hint="default" w:ascii="Times New Roman" w:hAnsi="Times New Roman" w:eastAsia="仿宋_GB2312" w:cs="Times New Roman"/>
          <w:kern w:val="0"/>
          <w:sz w:val="32"/>
          <w:szCs w:val="32"/>
        </w:rPr>
        <w:t>万元。</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
          <w:kern w:val="0"/>
          <w:sz w:val="32"/>
          <w:szCs w:val="32"/>
        </w:rPr>
        <w:t>（一）</w:t>
      </w:r>
      <w:r>
        <w:rPr>
          <w:rFonts w:hint="default" w:ascii="Times New Roman" w:hAnsi="Times New Roman" w:eastAsia="仿宋_GB2312" w:cs="Times New Roman"/>
          <w:b/>
          <w:bCs w:val="0"/>
          <w:kern w:val="0"/>
          <w:sz w:val="32"/>
          <w:szCs w:val="32"/>
        </w:rPr>
        <w:t>本年收入</w:t>
      </w:r>
      <w:r>
        <w:rPr>
          <w:rFonts w:hint="eastAsia" w:ascii="Times New Roman" w:hAnsi="Times New Roman" w:eastAsia="仿宋_GB2312" w:cs="Times New Roman"/>
          <w:b/>
          <w:bCs w:val="0"/>
          <w:sz w:val="32"/>
          <w:szCs w:val="32"/>
          <w:lang w:val="en-US" w:eastAsia="zh-CN"/>
        </w:rPr>
        <w:t>8548.05</w:t>
      </w:r>
      <w:r>
        <w:rPr>
          <w:rFonts w:hint="default" w:ascii="Times New Roman" w:hAnsi="Times New Roman" w:eastAsia="仿宋_GB2312" w:cs="Times New Roman"/>
          <w:b/>
          <w:bCs w:val="0"/>
          <w:kern w:val="0"/>
          <w:sz w:val="32"/>
          <w:szCs w:val="32"/>
        </w:rPr>
        <w:t>万元</w:t>
      </w:r>
      <w:r>
        <w:rPr>
          <w:rFonts w:hint="default" w:ascii="Times New Roman" w:hAnsi="Times New Roman" w:eastAsia="仿宋_GB2312" w:cs="Times New Roman"/>
          <w:b/>
          <w:kern w:val="0"/>
          <w:sz w:val="32"/>
          <w:szCs w:val="32"/>
        </w:rPr>
        <w:t>，</w:t>
      </w:r>
      <w:r>
        <w:rPr>
          <w:rFonts w:hint="default" w:ascii="Times New Roman" w:hAnsi="Times New Roman" w:eastAsia="仿宋_GB2312" w:cs="Times New Roman"/>
          <w:kern w:val="0"/>
          <w:sz w:val="32"/>
          <w:szCs w:val="32"/>
        </w:rPr>
        <w:t>主要包括：一般公共预算拨款收入</w:t>
      </w:r>
      <w:r>
        <w:rPr>
          <w:rFonts w:hint="eastAsia" w:ascii="Times New Roman" w:hAnsi="Times New Roman" w:eastAsia="仿宋_GB2312" w:cs="Times New Roman"/>
          <w:sz w:val="32"/>
          <w:szCs w:val="32"/>
          <w:lang w:val="en-US" w:eastAsia="zh-CN"/>
        </w:rPr>
        <w:t>8548.05</w:t>
      </w:r>
      <w:r>
        <w:rPr>
          <w:rFonts w:hint="default" w:ascii="Times New Roman" w:hAnsi="Times New Roman" w:eastAsia="仿宋_GB2312" w:cs="Times New Roman"/>
          <w:kern w:val="0"/>
          <w:sz w:val="32"/>
          <w:szCs w:val="32"/>
        </w:rPr>
        <w:t>万元，占</w:t>
      </w:r>
      <w:r>
        <w:rPr>
          <w:rFonts w:hint="default" w:ascii="Times New Roman" w:hAnsi="Times New Roman" w:eastAsia="仿宋_GB2312" w:cs="Times New Roman"/>
          <w:kern w:val="0"/>
          <w:sz w:val="32"/>
          <w:szCs w:val="32"/>
          <w:lang w:val="en-US" w:eastAsia="zh-CN"/>
        </w:rPr>
        <w:t>100</w:t>
      </w:r>
      <w:r>
        <w:rPr>
          <w:rFonts w:hint="default" w:ascii="Times New Roman" w:hAnsi="Times New Roman" w:eastAsia="仿宋_GB2312" w:cs="Times New Roman"/>
          <w:kern w:val="0"/>
          <w:sz w:val="32"/>
          <w:szCs w:val="32"/>
        </w:rPr>
        <w:t>%，比2024年预算增加</w:t>
      </w:r>
      <w:r>
        <w:rPr>
          <w:rFonts w:hint="eastAsia" w:ascii="Times New Roman" w:hAnsi="Times New Roman" w:eastAsia="仿宋_GB2312" w:cs="Times New Roman"/>
          <w:kern w:val="0"/>
          <w:sz w:val="32"/>
          <w:szCs w:val="32"/>
          <w:lang w:val="en-US" w:eastAsia="zh-CN"/>
        </w:rPr>
        <w:t>1.45</w:t>
      </w:r>
      <w:r>
        <w:rPr>
          <w:rFonts w:hint="default" w:ascii="Times New Roman" w:hAnsi="Times New Roman" w:eastAsia="仿宋_GB2312" w:cs="Times New Roman"/>
          <w:kern w:val="0"/>
          <w:sz w:val="32"/>
          <w:szCs w:val="32"/>
        </w:rPr>
        <w:t>万元，增长</w:t>
      </w:r>
      <w:r>
        <w:rPr>
          <w:rFonts w:hint="eastAsia" w:ascii="Times New Roman" w:hAnsi="Times New Roman" w:eastAsia="仿宋_GB2312" w:cs="Times New Roman"/>
          <w:kern w:val="0"/>
          <w:sz w:val="32"/>
          <w:szCs w:val="32"/>
          <w:lang w:val="en-US" w:eastAsia="zh-CN"/>
        </w:rPr>
        <w:t>0.02</w:t>
      </w:r>
      <w:r>
        <w:rPr>
          <w:rFonts w:hint="default" w:ascii="Times New Roman" w:hAnsi="Times New Roman" w:eastAsia="仿宋_GB2312" w:cs="Times New Roman"/>
          <w:kern w:val="0"/>
          <w:sz w:val="32"/>
          <w:szCs w:val="32"/>
        </w:rPr>
        <w:t>%，原因主要是</w:t>
      </w:r>
      <w:r>
        <w:rPr>
          <w:rFonts w:hint="default" w:ascii="Times New Roman" w:hAnsi="Times New Roman" w:eastAsia="仿宋_GB2312" w:cs="Times New Roman"/>
          <w:kern w:val="0"/>
          <w:sz w:val="32"/>
          <w:szCs w:val="32"/>
          <w:lang w:eastAsia="zh-CN"/>
        </w:rPr>
        <w:t>人员经费增加</w:t>
      </w:r>
      <w:r>
        <w:rPr>
          <w:rFonts w:hint="eastAsia" w:ascii="Times New Roman" w:hAnsi="Times New Roman" w:eastAsia="仿宋_GB2312" w:cs="Times New Roman"/>
          <w:kern w:val="0"/>
          <w:sz w:val="32"/>
          <w:szCs w:val="32"/>
          <w:lang w:eastAsia="zh-CN"/>
        </w:rPr>
        <w:t>。</w:t>
      </w:r>
      <w:r>
        <w:rPr>
          <w:rFonts w:hint="default" w:ascii="Times New Roman" w:hAnsi="Times New Roman" w:eastAsia="仿宋_GB2312" w:cs="Times New Roman"/>
          <w:kern w:val="0"/>
          <w:sz w:val="32"/>
          <w:szCs w:val="32"/>
        </w:rPr>
        <w:t>政府性基金预算拨款收入0万元，占0%，与202</w:t>
      </w:r>
      <w:r>
        <w:rPr>
          <w:rFonts w:hint="eastAsia" w:ascii="Times New Roman" w:hAnsi="Times New Roman" w:eastAsia="仿宋_GB2312" w:cs="Times New Roman"/>
          <w:kern w:val="0"/>
          <w:sz w:val="32"/>
          <w:szCs w:val="32"/>
          <w:lang w:val="en-US" w:eastAsia="zh-CN"/>
        </w:rPr>
        <w:t>4</w:t>
      </w:r>
      <w:r>
        <w:rPr>
          <w:rFonts w:hint="default" w:ascii="Times New Roman" w:hAnsi="Times New Roman" w:eastAsia="仿宋_GB2312" w:cs="Times New Roman"/>
          <w:kern w:val="0"/>
          <w:sz w:val="32"/>
          <w:szCs w:val="32"/>
        </w:rPr>
        <w:t>年预算相较无变化</w:t>
      </w:r>
      <w:r>
        <w:rPr>
          <w:rFonts w:hint="default" w:ascii="Times New Roman" w:hAnsi="Times New Roman" w:eastAsia="仿宋_GB2312" w:cs="Times New Roman"/>
          <w:kern w:val="0"/>
          <w:sz w:val="32"/>
          <w:szCs w:val="32"/>
          <w:lang w:eastAsia="zh-CN"/>
        </w:rPr>
        <w:t>，原因主要是无</w:t>
      </w:r>
      <w:r>
        <w:rPr>
          <w:rFonts w:hint="default" w:ascii="Times New Roman" w:hAnsi="Times New Roman" w:eastAsia="仿宋_GB2312" w:cs="Times New Roman"/>
          <w:kern w:val="0"/>
          <w:sz w:val="32"/>
          <w:szCs w:val="32"/>
        </w:rPr>
        <w:t>政府性基金；财政专户管理资金收入0万元，占0%，与202</w:t>
      </w:r>
      <w:r>
        <w:rPr>
          <w:rFonts w:hint="eastAsia" w:ascii="Times New Roman" w:hAnsi="Times New Roman" w:eastAsia="仿宋_GB2312" w:cs="Times New Roman"/>
          <w:kern w:val="0"/>
          <w:sz w:val="32"/>
          <w:szCs w:val="32"/>
          <w:lang w:val="en-US" w:eastAsia="zh-CN"/>
        </w:rPr>
        <w:t>4</w:t>
      </w:r>
      <w:r>
        <w:rPr>
          <w:rFonts w:hint="default" w:ascii="Times New Roman" w:hAnsi="Times New Roman" w:eastAsia="仿宋_GB2312" w:cs="Times New Roman"/>
          <w:kern w:val="0"/>
          <w:sz w:val="32"/>
          <w:szCs w:val="32"/>
        </w:rPr>
        <w:t>年预算相较无变化</w:t>
      </w:r>
      <w:r>
        <w:rPr>
          <w:rFonts w:hint="default" w:ascii="Times New Roman" w:hAnsi="Times New Roman" w:eastAsia="仿宋_GB2312" w:cs="Times New Roman"/>
          <w:kern w:val="0"/>
          <w:sz w:val="32"/>
          <w:szCs w:val="32"/>
          <w:lang w:eastAsia="zh-CN"/>
        </w:rPr>
        <w:t>，原因主要是无</w:t>
      </w:r>
      <w:r>
        <w:rPr>
          <w:rFonts w:hint="default" w:ascii="Times New Roman" w:hAnsi="Times New Roman" w:eastAsia="仿宋_GB2312" w:cs="Times New Roman"/>
          <w:kern w:val="0"/>
          <w:sz w:val="32"/>
          <w:szCs w:val="32"/>
        </w:rPr>
        <w:t>财政专户管理资金。</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三、关于2025年支出总表的说明</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kern w:val="0"/>
          <w:sz w:val="32"/>
          <w:szCs w:val="32"/>
        </w:rPr>
        <w:t>2025年支出预算</w:t>
      </w:r>
      <w:r>
        <w:rPr>
          <w:rFonts w:hint="eastAsia" w:ascii="Times New Roman" w:hAnsi="Times New Roman" w:eastAsia="仿宋_GB2312" w:cs="Times New Roman"/>
          <w:sz w:val="32"/>
          <w:szCs w:val="32"/>
          <w:lang w:val="en-US" w:eastAsia="zh-CN"/>
        </w:rPr>
        <w:t>8548.05</w:t>
      </w:r>
      <w:r>
        <w:rPr>
          <w:rFonts w:hint="default" w:ascii="Times New Roman" w:hAnsi="Times New Roman" w:eastAsia="仿宋_GB2312" w:cs="Times New Roman"/>
          <w:kern w:val="0"/>
          <w:sz w:val="32"/>
          <w:szCs w:val="32"/>
        </w:rPr>
        <w:t>万元，比2024年预算增加</w:t>
      </w:r>
      <w:r>
        <w:rPr>
          <w:rFonts w:hint="eastAsia" w:ascii="Times New Roman" w:hAnsi="Times New Roman" w:eastAsia="仿宋_GB2312" w:cs="Times New Roman"/>
          <w:kern w:val="0"/>
          <w:sz w:val="32"/>
          <w:szCs w:val="32"/>
          <w:lang w:val="en-US" w:eastAsia="zh-CN"/>
        </w:rPr>
        <w:t>1.45</w:t>
      </w:r>
      <w:r>
        <w:rPr>
          <w:rFonts w:hint="default" w:ascii="Times New Roman" w:hAnsi="Times New Roman" w:eastAsia="仿宋_GB2312" w:cs="Times New Roman"/>
          <w:kern w:val="0"/>
          <w:sz w:val="32"/>
          <w:szCs w:val="32"/>
        </w:rPr>
        <w:t>万元，增长</w:t>
      </w:r>
      <w:r>
        <w:rPr>
          <w:rFonts w:hint="eastAsia" w:ascii="Times New Roman" w:hAnsi="Times New Roman" w:eastAsia="仿宋_GB2312" w:cs="Times New Roman"/>
          <w:kern w:val="0"/>
          <w:sz w:val="32"/>
          <w:szCs w:val="32"/>
          <w:lang w:val="en-US" w:eastAsia="zh-CN"/>
        </w:rPr>
        <w:t>3.74</w:t>
      </w:r>
      <w:r>
        <w:rPr>
          <w:rFonts w:hint="default" w:ascii="Times New Roman" w:hAnsi="Times New Roman" w:eastAsia="仿宋_GB2312" w:cs="Times New Roman"/>
          <w:kern w:val="0"/>
          <w:sz w:val="32"/>
          <w:szCs w:val="32"/>
        </w:rPr>
        <w:t>%，原因主要是</w:t>
      </w:r>
      <w:r>
        <w:rPr>
          <w:rFonts w:hint="default" w:ascii="Times New Roman" w:hAnsi="Times New Roman" w:eastAsia="仿宋_GB2312" w:cs="Times New Roman"/>
          <w:kern w:val="0"/>
          <w:sz w:val="32"/>
          <w:szCs w:val="32"/>
          <w:lang w:eastAsia="zh-CN"/>
        </w:rPr>
        <w:t>人员经费增加</w:t>
      </w:r>
      <w:r>
        <w:rPr>
          <w:rFonts w:hint="default" w:ascii="Times New Roman" w:hAnsi="Times New Roman" w:eastAsia="仿宋_GB2312" w:cs="Times New Roman"/>
          <w:kern w:val="0"/>
          <w:sz w:val="32"/>
          <w:szCs w:val="32"/>
        </w:rPr>
        <w:t>。其中，基本支出</w:t>
      </w:r>
      <w:r>
        <w:rPr>
          <w:rFonts w:hint="eastAsia" w:ascii="Times New Roman" w:hAnsi="Times New Roman" w:eastAsia="仿宋_GB2312" w:cs="Times New Roman"/>
          <w:kern w:val="0"/>
          <w:sz w:val="32"/>
          <w:szCs w:val="32"/>
          <w:lang w:val="en-US" w:eastAsia="zh-CN"/>
        </w:rPr>
        <w:t>319.57</w:t>
      </w:r>
      <w:r>
        <w:rPr>
          <w:rFonts w:hint="default" w:ascii="Times New Roman" w:hAnsi="Times New Roman" w:eastAsia="仿宋_GB2312" w:cs="Times New Roman"/>
          <w:kern w:val="0"/>
          <w:sz w:val="32"/>
          <w:szCs w:val="32"/>
        </w:rPr>
        <w:t>万元，占</w:t>
      </w:r>
      <w:r>
        <w:rPr>
          <w:rFonts w:hint="default" w:ascii="Times New Roman" w:hAnsi="Times New Roman" w:eastAsia="仿宋_GB2312" w:cs="Times New Roman"/>
          <w:kern w:val="0"/>
          <w:sz w:val="32"/>
          <w:szCs w:val="32"/>
          <w:lang w:val="en-US" w:eastAsia="zh-CN"/>
        </w:rPr>
        <w:t>20.54</w:t>
      </w:r>
      <w:r>
        <w:rPr>
          <w:rFonts w:hint="default" w:ascii="Times New Roman" w:hAnsi="Times New Roman" w:eastAsia="仿宋_GB2312" w:cs="Times New Roman"/>
          <w:kern w:val="0"/>
          <w:sz w:val="32"/>
          <w:szCs w:val="32"/>
        </w:rPr>
        <w:t>%，主要用于保障</w:t>
      </w:r>
      <w:r>
        <w:rPr>
          <w:rFonts w:hint="default" w:ascii="Times New Roman" w:hAnsi="Times New Roman" w:eastAsia="仿宋_GB2312" w:cs="Times New Roman"/>
          <w:kern w:val="0"/>
          <w:sz w:val="32"/>
          <w:szCs w:val="32"/>
          <w:lang w:eastAsia="zh-CN"/>
        </w:rPr>
        <w:t>人员经费、</w:t>
      </w:r>
      <w:r>
        <w:rPr>
          <w:rFonts w:hint="default" w:ascii="Times New Roman" w:hAnsi="Times New Roman" w:eastAsia="仿宋_GB2312" w:cs="Times New Roman"/>
          <w:kern w:val="0"/>
          <w:sz w:val="32"/>
          <w:szCs w:val="32"/>
        </w:rPr>
        <w:t>机构日常运转、完成日常工作任务；项目支出</w:t>
      </w:r>
      <w:r>
        <w:rPr>
          <w:rFonts w:hint="eastAsia" w:ascii="Times New Roman" w:hAnsi="Times New Roman" w:eastAsia="仿宋_GB2312" w:cs="Times New Roman"/>
          <w:kern w:val="0"/>
          <w:sz w:val="32"/>
          <w:szCs w:val="32"/>
          <w:lang w:val="en-US" w:eastAsia="zh-CN"/>
        </w:rPr>
        <w:t>8228.48</w:t>
      </w:r>
      <w:r>
        <w:rPr>
          <w:rFonts w:hint="default" w:ascii="Times New Roman" w:hAnsi="Times New Roman" w:eastAsia="仿宋_GB2312" w:cs="Times New Roman"/>
          <w:kern w:val="0"/>
          <w:sz w:val="32"/>
          <w:szCs w:val="32"/>
        </w:rPr>
        <w:t>万元，占</w:t>
      </w:r>
      <w:r>
        <w:rPr>
          <w:rFonts w:hint="eastAsia" w:ascii="Times New Roman" w:hAnsi="Times New Roman" w:eastAsia="仿宋_GB2312" w:cs="Times New Roman"/>
          <w:kern w:val="0"/>
          <w:sz w:val="32"/>
          <w:szCs w:val="32"/>
          <w:lang w:val="en-US" w:eastAsia="zh-CN"/>
        </w:rPr>
        <w:t>96.26</w:t>
      </w:r>
      <w:r>
        <w:rPr>
          <w:rFonts w:hint="default" w:ascii="Times New Roman" w:hAnsi="Times New Roman" w:eastAsia="仿宋_GB2312" w:cs="Times New Roman"/>
          <w:kern w:val="0"/>
          <w:sz w:val="32"/>
          <w:szCs w:val="32"/>
        </w:rPr>
        <w:t>%，主要用于</w:t>
      </w:r>
      <w:r>
        <w:rPr>
          <w:rFonts w:hint="eastAsia" w:ascii="仿宋_GB2312" w:hAnsi="仿宋" w:eastAsia="仿宋_GB2312"/>
          <w:sz w:val="32"/>
          <w:szCs w:val="32"/>
          <w:lang w:eastAsia="zh-CN"/>
        </w:rPr>
        <w:t>重点项目建设、铁路规划建设</w:t>
      </w:r>
      <w:r>
        <w:rPr>
          <w:rFonts w:hint="eastAsia" w:ascii="仿宋_GB2312" w:hAnsi="仿宋_GB2312" w:eastAsia="仿宋_GB2312" w:cs="仿宋_GB2312"/>
          <w:kern w:val="0"/>
          <w:sz w:val="32"/>
          <w:szCs w:val="32"/>
        </w:rPr>
        <w:t>等</w:t>
      </w:r>
      <w:r>
        <w:rPr>
          <w:rFonts w:hint="default" w:ascii="Times New Roman" w:hAnsi="Times New Roman" w:eastAsia="仿宋_GB2312" w:cs="Times New Roman"/>
          <w:kern w:val="0"/>
          <w:sz w:val="32"/>
          <w:szCs w:val="32"/>
        </w:rPr>
        <w:t>。</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四、关于2025年财政拨款收支总表的说明</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kern w:val="0"/>
          <w:sz w:val="32"/>
          <w:szCs w:val="32"/>
        </w:rPr>
        <w:t>2025年财政拨款收支预算</w:t>
      </w:r>
      <w:r>
        <w:rPr>
          <w:rFonts w:hint="eastAsia" w:ascii="Times New Roman" w:hAnsi="Times New Roman" w:eastAsia="仿宋_GB2312" w:cs="Times New Roman"/>
          <w:sz w:val="32"/>
          <w:szCs w:val="32"/>
          <w:lang w:val="en-US" w:eastAsia="zh-CN"/>
        </w:rPr>
        <w:t>8548.05</w:t>
      </w:r>
      <w:r>
        <w:rPr>
          <w:rFonts w:hint="default" w:ascii="Times New Roman" w:hAnsi="Times New Roman" w:eastAsia="仿宋_GB2312" w:cs="Times New Roman"/>
          <w:kern w:val="0"/>
          <w:sz w:val="32"/>
          <w:szCs w:val="32"/>
        </w:rPr>
        <w:t>万元。收入按资金来源分为：一般公共预算拨款</w:t>
      </w:r>
      <w:r>
        <w:rPr>
          <w:rFonts w:hint="eastAsia" w:ascii="Times New Roman" w:hAnsi="Times New Roman" w:eastAsia="仿宋_GB2312" w:cs="Times New Roman"/>
          <w:sz w:val="32"/>
          <w:szCs w:val="32"/>
          <w:lang w:val="en-US" w:eastAsia="zh-CN"/>
        </w:rPr>
        <w:t>8548.05</w:t>
      </w:r>
      <w:r>
        <w:rPr>
          <w:rFonts w:hint="default" w:ascii="Times New Roman" w:hAnsi="Times New Roman" w:eastAsia="仿宋_GB2312" w:cs="Times New Roman"/>
          <w:kern w:val="0"/>
          <w:sz w:val="32"/>
          <w:szCs w:val="32"/>
        </w:rPr>
        <w:t>万元、政府性基金预算拨款</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万元；按资金年度分为：本年财政拨款收入</w:t>
      </w:r>
      <w:r>
        <w:rPr>
          <w:rFonts w:hint="eastAsia" w:ascii="Times New Roman" w:hAnsi="Times New Roman" w:eastAsia="仿宋_GB2312" w:cs="Times New Roman"/>
          <w:sz w:val="32"/>
          <w:szCs w:val="32"/>
          <w:lang w:val="en-US" w:eastAsia="zh-CN"/>
        </w:rPr>
        <w:t>8548.05</w:t>
      </w:r>
      <w:r>
        <w:rPr>
          <w:rFonts w:hint="default" w:ascii="Times New Roman" w:hAnsi="Times New Roman" w:eastAsia="仿宋_GB2312" w:cs="Times New Roman"/>
          <w:kern w:val="0"/>
          <w:sz w:val="32"/>
          <w:szCs w:val="32"/>
        </w:rPr>
        <w:t>万元。支出按功能分类分为：一般公共服务支出</w:t>
      </w:r>
      <w:r>
        <w:rPr>
          <w:rFonts w:hint="eastAsia" w:ascii="Times New Roman" w:hAnsi="Times New Roman" w:eastAsia="仿宋_GB2312" w:cs="Times New Roman"/>
          <w:kern w:val="0"/>
          <w:sz w:val="32"/>
          <w:szCs w:val="32"/>
          <w:lang w:val="en-US" w:eastAsia="zh-CN"/>
        </w:rPr>
        <w:t>247.17</w:t>
      </w:r>
      <w:r>
        <w:rPr>
          <w:rFonts w:hint="default" w:ascii="Times New Roman" w:hAnsi="Times New Roman" w:eastAsia="仿宋_GB2312" w:cs="Times New Roman"/>
          <w:kern w:val="0"/>
          <w:sz w:val="32"/>
          <w:szCs w:val="32"/>
        </w:rPr>
        <w:t>万元，占</w:t>
      </w:r>
      <w:r>
        <w:rPr>
          <w:rFonts w:hint="eastAsia" w:ascii="Times New Roman" w:hAnsi="Times New Roman" w:eastAsia="仿宋_GB2312" w:cs="Times New Roman"/>
          <w:kern w:val="0"/>
          <w:sz w:val="32"/>
          <w:szCs w:val="32"/>
          <w:lang w:val="en-US" w:eastAsia="zh-CN"/>
        </w:rPr>
        <w:t>2.89</w:t>
      </w:r>
      <w:r>
        <w:rPr>
          <w:rFonts w:hint="default" w:ascii="Times New Roman" w:hAnsi="Times New Roman" w:eastAsia="仿宋_GB2312" w:cs="Times New Roman"/>
          <w:kern w:val="0"/>
          <w:sz w:val="32"/>
          <w:szCs w:val="32"/>
        </w:rPr>
        <w:t>%；社会保障和就业支出</w:t>
      </w:r>
      <w:r>
        <w:rPr>
          <w:rFonts w:hint="eastAsia" w:ascii="Times New Roman" w:hAnsi="Times New Roman" w:eastAsia="仿宋_GB2312" w:cs="Times New Roman"/>
          <w:kern w:val="0"/>
          <w:sz w:val="32"/>
          <w:szCs w:val="32"/>
          <w:lang w:val="en-US" w:eastAsia="zh-CN"/>
        </w:rPr>
        <w:t>44.13</w:t>
      </w:r>
      <w:r>
        <w:rPr>
          <w:rFonts w:hint="default" w:ascii="Times New Roman" w:hAnsi="Times New Roman" w:eastAsia="仿宋_GB2312" w:cs="Times New Roman"/>
          <w:kern w:val="0"/>
          <w:sz w:val="32"/>
          <w:szCs w:val="32"/>
        </w:rPr>
        <w:t>万元，占</w:t>
      </w:r>
      <w:r>
        <w:rPr>
          <w:rFonts w:hint="eastAsia" w:ascii="Times New Roman" w:hAnsi="Times New Roman" w:eastAsia="仿宋_GB2312" w:cs="Times New Roman"/>
          <w:kern w:val="0"/>
          <w:sz w:val="32"/>
          <w:szCs w:val="32"/>
          <w:lang w:val="en-US" w:eastAsia="zh-CN"/>
        </w:rPr>
        <w:t>0.52</w:t>
      </w:r>
      <w:r>
        <w:rPr>
          <w:rFonts w:hint="default" w:ascii="Times New Roman" w:hAnsi="Times New Roman" w:eastAsia="仿宋_GB2312" w:cs="Times New Roman"/>
          <w:kern w:val="0"/>
          <w:sz w:val="32"/>
          <w:szCs w:val="32"/>
        </w:rPr>
        <w:t>%；卫生健康支出</w:t>
      </w:r>
      <w:r>
        <w:rPr>
          <w:rFonts w:hint="eastAsia" w:ascii="Times New Roman" w:hAnsi="Times New Roman" w:eastAsia="仿宋_GB2312" w:cs="Times New Roman"/>
          <w:kern w:val="0"/>
          <w:sz w:val="32"/>
          <w:szCs w:val="32"/>
          <w:lang w:val="en-US" w:eastAsia="zh-CN"/>
        </w:rPr>
        <w:t>12.44</w:t>
      </w:r>
      <w:r>
        <w:rPr>
          <w:rFonts w:hint="default" w:ascii="Times New Roman" w:hAnsi="Times New Roman" w:eastAsia="仿宋_GB2312" w:cs="Times New Roman"/>
          <w:kern w:val="0"/>
          <w:sz w:val="32"/>
          <w:szCs w:val="32"/>
        </w:rPr>
        <w:t>万元，占</w:t>
      </w:r>
      <w:r>
        <w:rPr>
          <w:rFonts w:hint="default" w:ascii="Times New Roman" w:hAnsi="Times New Roman" w:eastAsia="仿宋_GB2312" w:cs="Times New Roman"/>
          <w:kern w:val="0"/>
          <w:sz w:val="32"/>
          <w:szCs w:val="32"/>
          <w:lang w:val="en-US" w:eastAsia="zh-CN"/>
        </w:rPr>
        <w:t>0.</w:t>
      </w:r>
      <w:r>
        <w:rPr>
          <w:rFonts w:hint="eastAsia" w:ascii="Times New Roman" w:hAnsi="Times New Roman" w:eastAsia="仿宋_GB2312" w:cs="Times New Roman"/>
          <w:kern w:val="0"/>
          <w:sz w:val="32"/>
          <w:szCs w:val="32"/>
          <w:lang w:val="en-US" w:eastAsia="zh-CN"/>
        </w:rPr>
        <w:t>15</w:t>
      </w:r>
      <w:r>
        <w:rPr>
          <w:rFonts w:hint="default" w:ascii="Times New Roman" w:hAnsi="Times New Roman" w:eastAsia="仿宋_GB2312" w:cs="Times New Roman"/>
          <w:kern w:val="0"/>
          <w:sz w:val="32"/>
          <w:szCs w:val="32"/>
        </w:rPr>
        <w:t>%；</w:t>
      </w:r>
      <w:r>
        <w:rPr>
          <w:rFonts w:hint="default" w:ascii="Times New Roman" w:hAnsi="Times New Roman" w:eastAsia="仿宋_GB2312" w:cs="Times New Roman"/>
          <w:sz w:val="32"/>
          <w:szCs w:val="32"/>
        </w:rPr>
        <w:t>交通运输支出</w:t>
      </w:r>
      <w:r>
        <w:rPr>
          <w:rFonts w:hint="default" w:ascii="Times New Roman" w:hAnsi="Times New Roman" w:eastAsia="仿宋_GB2312" w:cs="Times New Roman"/>
          <w:kern w:val="0"/>
          <w:sz w:val="32"/>
          <w:szCs w:val="32"/>
          <w:lang w:val="en-US" w:eastAsia="zh-CN"/>
        </w:rPr>
        <w:t>8200</w:t>
      </w:r>
      <w:r>
        <w:rPr>
          <w:rFonts w:hint="default" w:ascii="Times New Roman" w:hAnsi="Times New Roman" w:eastAsia="仿宋_GB2312" w:cs="Times New Roman"/>
          <w:kern w:val="0"/>
          <w:sz w:val="32"/>
          <w:szCs w:val="32"/>
        </w:rPr>
        <w:t>万元，占</w:t>
      </w:r>
      <w:r>
        <w:rPr>
          <w:rFonts w:hint="eastAsia" w:ascii="Times New Roman" w:hAnsi="Times New Roman" w:eastAsia="仿宋_GB2312" w:cs="Times New Roman"/>
          <w:kern w:val="0"/>
          <w:sz w:val="32"/>
          <w:szCs w:val="32"/>
          <w:lang w:val="en-US" w:eastAsia="zh-CN"/>
        </w:rPr>
        <w:t>95.93</w:t>
      </w:r>
      <w:r>
        <w:rPr>
          <w:rFonts w:hint="default" w:ascii="Times New Roman" w:hAnsi="Times New Roman" w:eastAsia="仿宋_GB2312" w:cs="Times New Roman"/>
          <w:kern w:val="0"/>
          <w:sz w:val="32"/>
          <w:szCs w:val="32"/>
        </w:rPr>
        <w:t>%</w:t>
      </w:r>
      <w:r>
        <w:rPr>
          <w:rFonts w:hint="default" w:ascii="Times New Roman" w:hAnsi="Times New Roman" w:eastAsia="仿宋_GB2312" w:cs="Times New Roman"/>
          <w:kern w:val="0"/>
          <w:sz w:val="32"/>
          <w:szCs w:val="32"/>
          <w:lang w:eastAsia="zh-CN"/>
        </w:rPr>
        <w:t>；</w:t>
      </w:r>
      <w:r>
        <w:rPr>
          <w:rFonts w:hint="default" w:ascii="Times New Roman" w:hAnsi="Times New Roman" w:eastAsia="仿宋_GB2312" w:cs="Times New Roman"/>
          <w:kern w:val="0"/>
          <w:sz w:val="32"/>
          <w:szCs w:val="32"/>
        </w:rPr>
        <w:t>住房保障支出</w:t>
      </w:r>
      <w:r>
        <w:rPr>
          <w:rFonts w:hint="eastAsia" w:ascii="Times New Roman" w:hAnsi="Times New Roman" w:eastAsia="仿宋_GB2312" w:cs="Times New Roman"/>
          <w:kern w:val="0"/>
          <w:sz w:val="32"/>
          <w:szCs w:val="32"/>
          <w:lang w:val="en-US" w:eastAsia="zh-CN"/>
        </w:rPr>
        <w:t>44.32</w:t>
      </w:r>
      <w:r>
        <w:rPr>
          <w:rFonts w:hint="default" w:ascii="Times New Roman" w:hAnsi="Times New Roman" w:eastAsia="仿宋_GB2312" w:cs="Times New Roman"/>
          <w:kern w:val="0"/>
          <w:sz w:val="32"/>
          <w:szCs w:val="32"/>
        </w:rPr>
        <w:t>万元，占</w:t>
      </w:r>
      <w:r>
        <w:rPr>
          <w:rFonts w:hint="eastAsia" w:ascii="Times New Roman" w:hAnsi="Times New Roman" w:eastAsia="仿宋_GB2312" w:cs="Times New Roman"/>
          <w:kern w:val="0"/>
          <w:sz w:val="32"/>
          <w:szCs w:val="32"/>
          <w:lang w:val="en-US" w:eastAsia="zh-CN"/>
        </w:rPr>
        <w:t>0.52</w:t>
      </w:r>
      <w:r>
        <w:rPr>
          <w:rFonts w:hint="default" w:ascii="Times New Roman" w:hAnsi="Times New Roman" w:eastAsia="仿宋_GB2312" w:cs="Times New Roman"/>
          <w:kern w:val="0"/>
          <w:sz w:val="32"/>
          <w:szCs w:val="32"/>
        </w:rPr>
        <w:t>%。</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五、关于2025年一般公共预算支出表的说明</w:t>
      </w:r>
    </w:p>
    <w:p>
      <w:pPr>
        <w:pStyle w:val="7"/>
        <w:adjustRightInd w:val="0"/>
        <w:snapToGrid w:val="0"/>
        <w:spacing w:line="560" w:lineRule="exact"/>
        <w:ind w:firstLine="630" w:firstLineChars="196"/>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rPr>
        <w:t>（一）一般公共预算支出规模变化情况。</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kern w:val="0"/>
          <w:sz w:val="32"/>
          <w:szCs w:val="32"/>
        </w:rPr>
        <w:t>2025年一般公共预算支出</w:t>
      </w:r>
      <w:r>
        <w:rPr>
          <w:rFonts w:hint="eastAsia" w:ascii="Times New Roman" w:hAnsi="Times New Roman" w:eastAsia="仿宋_GB2312" w:cs="Times New Roman"/>
          <w:sz w:val="32"/>
          <w:szCs w:val="32"/>
          <w:lang w:val="en-US" w:eastAsia="zh-CN"/>
        </w:rPr>
        <w:t>8548.05</w:t>
      </w:r>
      <w:r>
        <w:rPr>
          <w:rFonts w:hint="default" w:ascii="Times New Roman" w:hAnsi="Times New Roman" w:eastAsia="仿宋_GB2312" w:cs="Times New Roman"/>
          <w:kern w:val="0"/>
          <w:sz w:val="32"/>
          <w:szCs w:val="32"/>
        </w:rPr>
        <w:t>万元，比2024年预算增加</w:t>
      </w:r>
      <w:r>
        <w:rPr>
          <w:rFonts w:hint="eastAsia" w:ascii="Times New Roman" w:hAnsi="Times New Roman" w:eastAsia="仿宋_GB2312" w:cs="Times New Roman"/>
          <w:kern w:val="0"/>
          <w:sz w:val="32"/>
          <w:szCs w:val="32"/>
          <w:lang w:val="en-US" w:eastAsia="zh-CN"/>
        </w:rPr>
        <w:t>1.45</w:t>
      </w:r>
      <w:r>
        <w:rPr>
          <w:rFonts w:hint="default" w:ascii="Times New Roman" w:hAnsi="Times New Roman" w:eastAsia="仿宋_GB2312" w:cs="Times New Roman"/>
          <w:kern w:val="0"/>
          <w:sz w:val="32"/>
          <w:szCs w:val="32"/>
        </w:rPr>
        <w:t>万元，增长</w:t>
      </w:r>
      <w:r>
        <w:rPr>
          <w:rFonts w:hint="eastAsia" w:ascii="Times New Roman" w:hAnsi="Times New Roman" w:eastAsia="仿宋_GB2312" w:cs="Times New Roman"/>
          <w:kern w:val="0"/>
          <w:sz w:val="32"/>
          <w:szCs w:val="32"/>
          <w:lang w:val="en-US" w:eastAsia="zh-CN"/>
        </w:rPr>
        <w:t>3.74</w:t>
      </w:r>
      <w:r>
        <w:rPr>
          <w:rFonts w:hint="default" w:ascii="Times New Roman" w:hAnsi="Times New Roman" w:eastAsia="仿宋_GB2312" w:cs="Times New Roman"/>
          <w:kern w:val="0"/>
          <w:sz w:val="32"/>
          <w:szCs w:val="32"/>
        </w:rPr>
        <w:t>%，原因主要是</w:t>
      </w:r>
      <w:r>
        <w:rPr>
          <w:rFonts w:hint="default" w:ascii="Times New Roman" w:hAnsi="Times New Roman" w:eastAsia="仿宋_GB2312" w:cs="Times New Roman"/>
          <w:kern w:val="0"/>
          <w:sz w:val="32"/>
          <w:szCs w:val="32"/>
          <w:lang w:eastAsia="zh-CN"/>
        </w:rPr>
        <w:t>人员经费增加</w:t>
      </w:r>
      <w:r>
        <w:rPr>
          <w:rFonts w:hint="default" w:ascii="Times New Roman" w:hAnsi="Times New Roman" w:eastAsia="仿宋_GB2312" w:cs="Times New Roman"/>
          <w:kern w:val="0"/>
          <w:sz w:val="32"/>
          <w:szCs w:val="32"/>
        </w:rPr>
        <w:t>。</w:t>
      </w:r>
    </w:p>
    <w:p>
      <w:pPr>
        <w:pStyle w:val="7"/>
        <w:adjustRightInd w:val="0"/>
        <w:snapToGrid w:val="0"/>
        <w:spacing w:line="560" w:lineRule="exact"/>
        <w:ind w:firstLine="630" w:firstLineChars="196"/>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rPr>
        <w:t>（二）一般公共预算支出结构情况。</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一般公共服务支出</w:t>
      </w:r>
      <w:r>
        <w:rPr>
          <w:rFonts w:hint="eastAsia" w:ascii="Times New Roman" w:hAnsi="Times New Roman" w:eastAsia="仿宋_GB2312" w:cs="Times New Roman"/>
          <w:kern w:val="0"/>
          <w:sz w:val="32"/>
          <w:szCs w:val="32"/>
          <w:lang w:val="en-US" w:eastAsia="zh-CN"/>
        </w:rPr>
        <w:t>247.17</w:t>
      </w:r>
      <w:r>
        <w:rPr>
          <w:rFonts w:hint="default" w:ascii="Times New Roman" w:hAnsi="Times New Roman" w:eastAsia="仿宋_GB2312" w:cs="Times New Roman"/>
          <w:kern w:val="0"/>
          <w:sz w:val="32"/>
          <w:szCs w:val="32"/>
        </w:rPr>
        <w:t>万元，占</w:t>
      </w:r>
      <w:r>
        <w:rPr>
          <w:rFonts w:hint="eastAsia" w:ascii="Times New Roman" w:hAnsi="Times New Roman" w:eastAsia="仿宋_GB2312" w:cs="Times New Roman"/>
          <w:kern w:val="0"/>
          <w:sz w:val="32"/>
          <w:szCs w:val="32"/>
          <w:lang w:val="en-US" w:eastAsia="zh-CN"/>
        </w:rPr>
        <w:t>2.89</w:t>
      </w:r>
      <w:r>
        <w:rPr>
          <w:rFonts w:hint="default" w:ascii="Times New Roman" w:hAnsi="Times New Roman" w:eastAsia="仿宋_GB2312" w:cs="Times New Roman"/>
          <w:kern w:val="0"/>
          <w:sz w:val="32"/>
          <w:szCs w:val="32"/>
        </w:rPr>
        <w:t>%；社会保障和就业支出</w:t>
      </w:r>
      <w:r>
        <w:rPr>
          <w:rFonts w:hint="eastAsia" w:ascii="Times New Roman" w:hAnsi="Times New Roman" w:eastAsia="仿宋_GB2312" w:cs="Times New Roman"/>
          <w:kern w:val="0"/>
          <w:sz w:val="32"/>
          <w:szCs w:val="32"/>
          <w:lang w:val="en-US" w:eastAsia="zh-CN"/>
        </w:rPr>
        <w:t>44.13</w:t>
      </w:r>
      <w:r>
        <w:rPr>
          <w:rFonts w:hint="default" w:ascii="Times New Roman" w:hAnsi="Times New Roman" w:eastAsia="仿宋_GB2312" w:cs="Times New Roman"/>
          <w:kern w:val="0"/>
          <w:sz w:val="32"/>
          <w:szCs w:val="32"/>
        </w:rPr>
        <w:t>万元，占</w:t>
      </w:r>
      <w:r>
        <w:rPr>
          <w:rFonts w:hint="eastAsia" w:ascii="Times New Roman" w:hAnsi="Times New Roman" w:eastAsia="仿宋_GB2312" w:cs="Times New Roman"/>
          <w:kern w:val="0"/>
          <w:sz w:val="32"/>
          <w:szCs w:val="32"/>
          <w:lang w:val="en-US" w:eastAsia="zh-CN"/>
        </w:rPr>
        <w:t>0.52</w:t>
      </w:r>
      <w:r>
        <w:rPr>
          <w:rFonts w:hint="default" w:ascii="Times New Roman" w:hAnsi="Times New Roman" w:eastAsia="仿宋_GB2312" w:cs="Times New Roman"/>
          <w:kern w:val="0"/>
          <w:sz w:val="32"/>
          <w:szCs w:val="32"/>
        </w:rPr>
        <w:t>%；卫生健康支出</w:t>
      </w:r>
      <w:r>
        <w:rPr>
          <w:rFonts w:hint="eastAsia" w:ascii="Times New Roman" w:hAnsi="Times New Roman" w:eastAsia="仿宋_GB2312" w:cs="Times New Roman"/>
          <w:kern w:val="0"/>
          <w:sz w:val="32"/>
          <w:szCs w:val="32"/>
          <w:lang w:val="en-US" w:eastAsia="zh-CN"/>
        </w:rPr>
        <w:t>12.44</w:t>
      </w:r>
      <w:r>
        <w:rPr>
          <w:rFonts w:hint="default" w:ascii="Times New Roman" w:hAnsi="Times New Roman" w:eastAsia="仿宋_GB2312" w:cs="Times New Roman"/>
          <w:kern w:val="0"/>
          <w:sz w:val="32"/>
          <w:szCs w:val="32"/>
        </w:rPr>
        <w:t>万元，占</w:t>
      </w:r>
      <w:r>
        <w:rPr>
          <w:rFonts w:hint="default" w:ascii="Times New Roman" w:hAnsi="Times New Roman" w:eastAsia="仿宋_GB2312" w:cs="Times New Roman"/>
          <w:kern w:val="0"/>
          <w:sz w:val="32"/>
          <w:szCs w:val="32"/>
          <w:lang w:val="en-US" w:eastAsia="zh-CN"/>
        </w:rPr>
        <w:t>0.</w:t>
      </w:r>
      <w:r>
        <w:rPr>
          <w:rFonts w:hint="eastAsia" w:ascii="Times New Roman" w:hAnsi="Times New Roman" w:eastAsia="仿宋_GB2312" w:cs="Times New Roman"/>
          <w:kern w:val="0"/>
          <w:sz w:val="32"/>
          <w:szCs w:val="32"/>
          <w:lang w:val="en-US" w:eastAsia="zh-CN"/>
        </w:rPr>
        <w:t>15</w:t>
      </w:r>
      <w:r>
        <w:rPr>
          <w:rFonts w:hint="default" w:ascii="Times New Roman" w:hAnsi="Times New Roman" w:eastAsia="仿宋_GB2312" w:cs="Times New Roman"/>
          <w:kern w:val="0"/>
          <w:sz w:val="32"/>
          <w:szCs w:val="32"/>
        </w:rPr>
        <w:t>%；</w:t>
      </w:r>
      <w:r>
        <w:rPr>
          <w:rFonts w:hint="default" w:ascii="Times New Roman" w:hAnsi="Times New Roman" w:eastAsia="仿宋_GB2312" w:cs="Times New Roman"/>
          <w:sz w:val="32"/>
          <w:szCs w:val="32"/>
        </w:rPr>
        <w:t>交通运输支出</w:t>
      </w:r>
      <w:r>
        <w:rPr>
          <w:rFonts w:hint="default" w:ascii="Times New Roman" w:hAnsi="Times New Roman" w:eastAsia="仿宋_GB2312" w:cs="Times New Roman"/>
          <w:kern w:val="0"/>
          <w:sz w:val="32"/>
          <w:szCs w:val="32"/>
          <w:lang w:val="en-US" w:eastAsia="zh-CN"/>
        </w:rPr>
        <w:t>8200</w:t>
      </w:r>
      <w:r>
        <w:rPr>
          <w:rFonts w:hint="default" w:ascii="Times New Roman" w:hAnsi="Times New Roman" w:eastAsia="仿宋_GB2312" w:cs="Times New Roman"/>
          <w:kern w:val="0"/>
          <w:sz w:val="32"/>
          <w:szCs w:val="32"/>
        </w:rPr>
        <w:t>万元，占</w:t>
      </w:r>
      <w:r>
        <w:rPr>
          <w:rFonts w:hint="eastAsia" w:ascii="Times New Roman" w:hAnsi="Times New Roman" w:eastAsia="仿宋_GB2312" w:cs="Times New Roman"/>
          <w:kern w:val="0"/>
          <w:sz w:val="32"/>
          <w:szCs w:val="32"/>
          <w:lang w:val="en-US" w:eastAsia="zh-CN"/>
        </w:rPr>
        <w:t>95.93</w:t>
      </w:r>
      <w:r>
        <w:rPr>
          <w:rFonts w:hint="default" w:ascii="Times New Roman" w:hAnsi="Times New Roman" w:eastAsia="仿宋_GB2312" w:cs="Times New Roman"/>
          <w:kern w:val="0"/>
          <w:sz w:val="32"/>
          <w:szCs w:val="32"/>
        </w:rPr>
        <w:t>%</w:t>
      </w:r>
      <w:r>
        <w:rPr>
          <w:rFonts w:hint="default" w:ascii="Times New Roman" w:hAnsi="Times New Roman" w:eastAsia="仿宋_GB2312" w:cs="Times New Roman"/>
          <w:kern w:val="0"/>
          <w:sz w:val="32"/>
          <w:szCs w:val="32"/>
          <w:lang w:eastAsia="zh-CN"/>
        </w:rPr>
        <w:t>；</w:t>
      </w:r>
      <w:r>
        <w:rPr>
          <w:rFonts w:hint="default" w:ascii="Times New Roman" w:hAnsi="Times New Roman" w:eastAsia="仿宋_GB2312" w:cs="Times New Roman"/>
          <w:kern w:val="0"/>
          <w:sz w:val="32"/>
          <w:szCs w:val="32"/>
        </w:rPr>
        <w:t>住房保障支出</w:t>
      </w:r>
      <w:r>
        <w:rPr>
          <w:rFonts w:hint="eastAsia" w:ascii="Times New Roman" w:hAnsi="Times New Roman" w:eastAsia="仿宋_GB2312" w:cs="Times New Roman"/>
          <w:kern w:val="0"/>
          <w:sz w:val="32"/>
          <w:szCs w:val="32"/>
          <w:lang w:val="en-US" w:eastAsia="zh-CN"/>
        </w:rPr>
        <w:t>44.32</w:t>
      </w:r>
      <w:r>
        <w:rPr>
          <w:rFonts w:hint="default" w:ascii="Times New Roman" w:hAnsi="Times New Roman" w:eastAsia="仿宋_GB2312" w:cs="Times New Roman"/>
          <w:kern w:val="0"/>
          <w:sz w:val="32"/>
          <w:szCs w:val="32"/>
        </w:rPr>
        <w:t>万元，占</w:t>
      </w:r>
      <w:r>
        <w:rPr>
          <w:rFonts w:hint="eastAsia" w:ascii="Times New Roman" w:hAnsi="Times New Roman" w:eastAsia="仿宋_GB2312" w:cs="Times New Roman"/>
          <w:kern w:val="0"/>
          <w:sz w:val="32"/>
          <w:szCs w:val="32"/>
          <w:lang w:val="en-US" w:eastAsia="zh-CN"/>
        </w:rPr>
        <w:t>0.52</w:t>
      </w:r>
      <w:r>
        <w:rPr>
          <w:rFonts w:hint="default" w:ascii="Times New Roman" w:hAnsi="Times New Roman" w:eastAsia="仿宋_GB2312" w:cs="Times New Roman"/>
          <w:kern w:val="0"/>
          <w:sz w:val="32"/>
          <w:szCs w:val="32"/>
        </w:rPr>
        <w:t>%。</w:t>
      </w:r>
    </w:p>
    <w:p>
      <w:pPr>
        <w:pStyle w:val="7"/>
        <w:adjustRightInd w:val="0"/>
        <w:snapToGrid w:val="0"/>
        <w:spacing w:line="560" w:lineRule="exact"/>
        <w:ind w:firstLine="630" w:firstLineChars="196"/>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rPr>
        <w:t>（三）一般公共预算支出具体使用情况。</w:t>
      </w:r>
    </w:p>
    <w:p>
      <w:pPr>
        <w:ind w:firstLine="640" w:firstLineChars="200"/>
        <w:rPr>
          <w:rFonts w:hint="default" w:ascii="Times New Roman" w:hAnsi="Times New Roman" w:eastAsia="仿宋_GB2312" w:cs="Times New Roman"/>
          <w:kern w:val="0"/>
          <w:sz w:val="32"/>
          <w:szCs w:val="32"/>
          <w:shd w:val="clear" w:color="auto" w:fill="auto"/>
        </w:rPr>
      </w:pPr>
      <w:r>
        <w:rPr>
          <w:rFonts w:hint="default" w:ascii="Times New Roman" w:hAnsi="Times New Roman" w:eastAsia="仿宋_GB2312" w:cs="Times New Roman"/>
          <w:bCs/>
          <w:kern w:val="0"/>
          <w:sz w:val="32"/>
          <w:szCs w:val="32"/>
          <w:shd w:val="clear" w:color="auto" w:fill="auto"/>
        </w:rPr>
        <w:t>1、一般公共服务支出（类）</w:t>
      </w:r>
      <w:r>
        <w:rPr>
          <w:rFonts w:hint="default" w:ascii="Times New Roman" w:hAnsi="Times New Roman" w:eastAsia="仿宋_GB2312" w:cs="Times New Roman"/>
          <w:bCs/>
          <w:kern w:val="0"/>
          <w:sz w:val="32"/>
          <w:szCs w:val="32"/>
          <w:shd w:val="clear" w:color="auto" w:fill="auto"/>
          <w:lang w:eastAsia="zh-CN"/>
        </w:rPr>
        <w:t>发展与改革事务</w:t>
      </w:r>
      <w:r>
        <w:rPr>
          <w:rFonts w:hint="default" w:ascii="Times New Roman" w:hAnsi="Times New Roman" w:eastAsia="仿宋_GB2312" w:cs="Times New Roman"/>
          <w:bCs/>
          <w:kern w:val="0"/>
          <w:sz w:val="32"/>
          <w:szCs w:val="32"/>
          <w:shd w:val="clear" w:color="auto" w:fill="auto"/>
        </w:rPr>
        <w:t>（款）行政运行（项）</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5</w:t>
      </w:r>
      <w:r>
        <w:rPr>
          <w:rFonts w:hint="default" w:ascii="Times New Roman" w:hAnsi="Times New Roman" w:eastAsia="仿宋_GB2312" w:cs="Times New Roman"/>
          <w:kern w:val="0"/>
          <w:sz w:val="32"/>
          <w:szCs w:val="32"/>
          <w:shd w:val="clear" w:color="auto" w:fill="auto"/>
        </w:rPr>
        <w:t>年预算</w:t>
      </w:r>
      <w:r>
        <w:rPr>
          <w:rFonts w:hint="eastAsia" w:ascii="Times New Roman" w:hAnsi="Times New Roman" w:eastAsia="仿宋_GB2312" w:cs="Times New Roman"/>
          <w:kern w:val="0"/>
          <w:sz w:val="32"/>
          <w:szCs w:val="32"/>
          <w:shd w:val="clear" w:color="auto" w:fill="auto"/>
          <w:lang w:val="en-US" w:eastAsia="zh-CN"/>
        </w:rPr>
        <w:t>218.69</w:t>
      </w:r>
      <w:r>
        <w:rPr>
          <w:rFonts w:hint="default" w:ascii="Times New Roman" w:hAnsi="Times New Roman" w:eastAsia="仿宋_GB2312" w:cs="Times New Roman"/>
          <w:kern w:val="0"/>
          <w:sz w:val="32"/>
          <w:szCs w:val="32"/>
          <w:shd w:val="clear" w:color="auto" w:fill="auto"/>
        </w:rPr>
        <w:t>万元，比202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rPr>
        <w:t>年预算</w:t>
      </w:r>
      <w:r>
        <w:rPr>
          <w:rFonts w:hint="default" w:ascii="Times New Roman" w:hAnsi="Times New Roman" w:eastAsia="仿宋_GB2312" w:cs="Times New Roman"/>
          <w:kern w:val="0"/>
          <w:sz w:val="32"/>
          <w:szCs w:val="32"/>
          <w:shd w:val="clear" w:color="auto" w:fill="auto"/>
          <w:lang w:eastAsia="zh-CN"/>
        </w:rPr>
        <w:t>增加</w:t>
      </w:r>
      <w:r>
        <w:rPr>
          <w:rFonts w:hint="eastAsia" w:ascii="Times New Roman" w:hAnsi="Times New Roman" w:eastAsia="仿宋_GB2312" w:cs="Times New Roman"/>
          <w:kern w:val="0"/>
          <w:sz w:val="32"/>
          <w:szCs w:val="32"/>
          <w:shd w:val="clear" w:color="auto" w:fill="auto"/>
          <w:lang w:val="en-US" w:eastAsia="zh-CN"/>
        </w:rPr>
        <w:t>9.33</w:t>
      </w:r>
      <w:r>
        <w:rPr>
          <w:rFonts w:hint="default" w:ascii="Times New Roman" w:hAnsi="Times New Roman" w:eastAsia="仿宋_GB2312" w:cs="Times New Roman"/>
          <w:kern w:val="0"/>
          <w:sz w:val="32"/>
          <w:szCs w:val="32"/>
          <w:shd w:val="clear" w:color="auto" w:fill="auto"/>
        </w:rPr>
        <w:t>万元，</w:t>
      </w:r>
      <w:r>
        <w:rPr>
          <w:rFonts w:hint="default" w:ascii="Times New Roman" w:hAnsi="Times New Roman" w:eastAsia="仿宋_GB2312" w:cs="Times New Roman"/>
          <w:kern w:val="0"/>
          <w:sz w:val="32"/>
          <w:szCs w:val="32"/>
          <w:shd w:val="clear" w:color="auto" w:fill="auto"/>
          <w:lang w:val="en-US" w:eastAsia="zh-CN" w:bidi="ar-SA"/>
        </w:rPr>
        <w:t>增长</w:t>
      </w:r>
      <w:r>
        <w:rPr>
          <w:rFonts w:hint="eastAsia" w:ascii="Times New Roman" w:hAnsi="Times New Roman" w:eastAsia="仿宋_GB2312" w:cs="Times New Roman"/>
          <w:kern w:val="0"/>
          <w:sz w:val="32"/>
          <w:szCs w:val="32"/>
          <w:shd w:val="clear" w:color="auto" w:fill="auto"/>
          <w:lang w:val="en-US" w:eastAsia="zh-CN" w:bidi="ar-SA"/>
        </w:rPr>
        <w:t>4.46</w:t>
      </w:r>
      <w:r>
        <w:rPr>
          <w:rFonts w:hint="default" w:ascii="Times New Roman" w:hAnsi="Times New Roman" w:eastAsia="仿宋_GB2312" w:cs="Times New Roman"/>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rPr>
        <w:t>，原因主要是</w:t>
      </w:r>
      <w:r>
        <w:rPr>
          <w:rFonts w:hint="default" w:ascii="Times New Roman" w:hAnsi="Times New Roman" w:eastAsia="仿宋_GB2312" w:cs="Times New Roman"/>
          <w:kern w:val="0"/>
          <w:sz w:val="32"/>
          <w:szCs w:val="32"/>
          <w:shd w:val="clear" w:color="auto" w:fill="auto"/>
          <w:lang w:eastAsia="zh-CN"/>
        </w:rPr>
        <w:t>人员</w:t>
      </w:r>
      <w:r>
        <w:rPr>
          <w:rFonts w:hint="default" w:ascii="Times New Roman" w:hAnsi="Times New Roman" w:eastAsia="仿宋_GB2312" w:cs="Times New Roman"/>
          <w:kern w:val="0"/>
          <w:sz w:val="32"/>
          <w:szCs w:val="32"/>
          <w:shd w:val="clear" w:color="auto" w:fill="auto"/>
          <w:lang w:val="en-US" w:eastAsia="zh-CN"/>
        </w:rPr>
        <w:t>变动</w:t>
      </w:r>
      <w:r>
        <w:rPr>
          <w:rFonts w:hint="default" w:ascii="Times New Roman" w:hAnsi="Times New Roman" w:eastAsia="仿宋_GB2312" w:cs="Times New Roman"/>
          <w:kern w:val="0"/>
          <w:sz w:val="32"/>
          <w:szCs w:val="32"/>
          <w:shd w:val="clear" w:color="auto" w:fill="auto"/>
        </w:rPr>
        <w:t>。</w:t>
      </w:r>
    </w:p>
    <w:p>
      <w:pPr>
        <w:ind w:firstLine="640" w:firstLineChars="200"/>
        <w:rPr>
          <w:rFonts w:hint="default" w:ascii="Times New Roman" w:hAnsi="Times New Roman" w:eastAsia="仿宋_GB2312" w:cs="Times New Roman"/>
          <w:kern w:val="0"/>
          <w:sz w:val="32"/>
          <w:szCs w:val="32"/>
          <w:shd w:val="clear" w:color="auto" w:fill="auto"/>
        </w:rPr>
      </w:pPr>
      <w:r>
        <w:rPr>
          <w:rFonts w:hint="default" w:ascii="Times New Roman" w:hAnsi="Times New Roman" w:eastAsia="仿宋_GB2312" w:cs="Times New Roman"/>
          <w:bCs/>
          <w:kern w:val="0"/>
          <w:sz w:val="32"/>
          <w:szCs w:val="32"/>
          <w:shd w:val="clear" w:color="auto" w:fill="auto"/>
        </w:rPr>
        <w:t>2、一般公共服务支出（类）</w:t>
      </w:r>
      <w:r>
        <w:rPr>
          <w:rFonts w:hint="default" w:ascii="Times New Roman" w:hAnsi="Times New Roman" w:eastAsia="仿宋_GB2312" w:cs="Times New Roman"/>
          <w:bCs/>
          <w:kern w:val="0"/>
          <w:sz w:val="32"/>
          <w:szCs w:val="32"/>
          <w:shd w:val="clear" w:color="auto" w:fill="auto"/>
          <w:lang w:eastAsia="zh-CN"/>
        </w:rPr>
        <w:t>发展与改革事务（</w:t>
      </w:r>
      <w:r>
        <w:rPr>
          <w:rFonts w:hint="default" w:ascii="Times New Roman" w:hAnsi="Times New Roman" w:eastAsia="仿宋_GB2312" w:cs="Times New Roman"/>
          <w:bCs/>
          <w:kern w:val="0"/>
          <w:sz w:val="32"/>
          <w:szCs w:val="32"/>
          <w:shd w:val="clear" w:color="auto" w:fill="auto"/>
        </w:rPr>
        <w:t>款）一般行政管理事务（项）</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5</w:t>
      </w:r>
      <w:r>
        <w:rPr>
          <w:rFonts w:hint="default" w:ascii="Times New Roman" w:hAnsi="Times New Roman" w:eastAsia="仿宋_GB2312" w:cs="Times New Roman"/>
          <w:kern w:val="0"/>
          <w:sz w:val="32"/>
          <w:szCs w:val="32"/>
          <w:shd w:val="clear" w:color="auto" w:fill="auto"/>
        </w:rPr>
        <w:t>年预算</w:t>
      </w:r>
      <w:r>
        <w:rPr>
          <w:rFonts w:hint="eastAsia" w:ascii="Times New Roman" w:hAnsi="Times New Roman" w:eastAsia="仿宋_GB2312" w:cs="Times New Roman"/>
          <w:kern w:val="0"/>
          <w:sz w:val="32"/>
          <w:szCs w:val="32"/>
          <w:shd w:val="clear" w:color="auto" w:fill="auto"/>
          <w:lang w:val="en-US" w:eastAsia="zh-CN"/>
        </w:rPr>
        <w:t>28.48</w:t>
      </w:r>
      <w:r>
        <w:rPr>
          <w:rFonts w:hint="default" w:ascii="Times New Roman" w:hAnsi="Times New Roman" w:eastAsia="仿宋_GB2312" w:cs="Times New Roman"/>
          <w:kern w:val="0"/>
          <w:sz w:val="32"/>
          <w:szCs w:val="32"/>
          <w:shd w:val="clear" w:color="auto" w:fill="auto"/>
        </w:rPr>
        <w:t>万元，比202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rPr>
        <w:t>年预算</w:t>
      </w:r>
      <w:r>
        <w:rPr>
          <w:rFonts w:hint="default" w:ascii="Times New Roman" w:hAnsi="Times New Roman" w:eastAsia="仿宋_GB2312" w:cs="Times New Roman"/>
          <w:kern w:val="0"/>
          <w:sz w:val="32"/>
          <w:szCs w:val="32"/>
          <w:shd w:val="clear" w:color="auto" w:fill="auto"/>
          <w:lang w:val="en-US" w:eastAsia="zh-CN"/>
        </w:rPr>
        <w:t>减少</w:t>
      </w:r>
      <w:r>
        <w:rPr>
          <w:rFonts w:hint="eastAsia" w:ascii="Times New Roman" w:hAnsi="Times New Roman" w:eastAsia="仿宋_GB2312" w:cs="Times New Roman"/>
          <w:kern w:val="0"/>
          <w:sz w:val="32"/>
          <w:szCs w:val="32"/>
          <w:shd w:val="clear" w:color="auto" w:fill="auto"/>
          <w:lang w:val="en-US" w:eastAsia="zh-CN"/>
        </w:rPr>
        <w:t>5.92</w:t>
      </w:r>
      <w:r>
        <w:rPr>
          <w:rFonts w:hint="default" w:ascii="Times New Roman" w:hAnsi="Times New Roman" w:eastAsia="仿宋_GB2312" w:cs="Times New Roman"/>
          <w:kern w:val="0"/>
          <w:sz w:val="32"/>
          <w:szCs w:val="32"/>
          <w:shd w:val="clear" w:color="auto" w:fill="auto"/>
        </w:rPr>
        <w:t>万元，</w:t>
      </w:r>
      <w:r>
        <w:rPr>
          <w:rFonts w:hint="default" w:ascii="Times New Roman" w:hAnsi="Times New Roman" w:eastAsia="仿宋_GB2312" w:cs="Times New Roman"/>
          <w:kern w:val="0"/>
          <w:sz w:val="32"/>
          <w:szCs w:val="32"/>
          <w:shd w:val="clear" w:color="auto" w:fill="auto"/>
          <w:lang w:val="en-US" w:eastAsia="zh-CN"/>
        </w:rPr>
        <w:t>下降</w:t>
      </w:r>
      <w:r>
        <w:rPr>
          <w:rFonts w:hint="eastAsia" w:ascii="Times New Roman" w:hAnsi="Times New Roman" w:eastAsia="仿宋_GB2312" w:cs="Times New Roman"/>
          <w:kern w:val="0"/>
          <w:sz w:val="32"/>
          <w:szCs w:val="32"/>
          <w:shd w:val="clear" w:color="auto" w:fill="auto"/>
          <w:lang w:val="en-US" w:eastAsia="zh-CN"/>
        </w:rPr>
        <w:t>17.21</w:t>
      </w:r>
      <w:r>
        <w:rPr>
          <w:rFonts w:hint="default" w:ascii="Times New Roman" w:hAnsi="Times New Roman" w:eastAsia="仿宋_GB2312" w:cs="Times New Roman"/>
          <w:kern w:val="0"/>
          <w:sz w:val="32"/>
          <w:szCs w:val="32"/>
          <w:shd w:val="clear" w:color="auto" w:fill="auto"/>
        </w:rPr>
        <w:t>%，原因主要是</w:t>
      </w:r>
      <w:r>
        <w:rPr>
          <w:rFonts w:hint="eastAsia" w:ascii="TimesNewRoman" w:hAnsi="TimesNewRoman" w:eastAsia="仿宋_GB2312" w:cs="TimesNewRoman"/>
          <w:kern w:val="0"/>
          <w:sz w:val="32"/>
          <w:szCs w:val="32"/>
          <w:shd w:val="clear" w:color="auto" w:fill="auto"/>
          <w:lang w:val="en-US" w:eastAsia="zh-CN"/>
        </w:rPr>
        <w:t>重点项目工作经费</w:t>
      </w:r>
      <w:r>
        <w:rPr>
          <w:rFonts w:hint="default" w:ascii="Times New Roman" w:hAnsi="Times New Roman" w:eastAsia="仿宋_GB2312" w:cs="Times New Roman"/>
          <w:kern w:val="0"/>
          <w:sz w:val="32"/>
          <w:szCs w:val="32"/>
          <w:shd w:val="clear" w:color="auto" w:fill="auto"/>
          <w:lang w:val="en-US" w:eastAsia="zh-CN"/>
        </w:rPr>
        <w:t>预算金额减少</w:t>
      </w:r>
      <w:r>
        <w:rPr>
          <w:rFonts w:hint="default" w:ascii="Times New Roman" w:hAnsi="Times New Roman" w:eastAsia="仿宋_GB2312" w:cs="Times New Roman"/>
          <w:kern w:val="0"/>
          <w:sz w:val="32"/>
          <w:szCs w:val="32"/>
          <w:shd w:val="clear" w:color="auto" w:fill="auto"/>
        </w:rPr>
        <w:t>。</w:t>
      </w:r>
    </w:p>
    <w:p>
      <w:pPr>
        <w:ind w:firstLine="640" w:firstLineChars="200"/>
        <w:rPr>
          <w:rFonts w:hint="default" w:ascii="Times New Roman" w:hAnsi="Times New Roman" w:eastAsia="仿宋_GB2312" w:cs="Times New Roman"/>
          <w:kern w:val="0"/>
          <w:sz w:val="32"/>
          <w:szCs w:val="32"/>
          <w:shd w:val="clear" w:color="auto" w:fill="auto"/>
          <w:lang w:val="en-US" w:eastAsia="zh-CN" w:bidi="ar-SA"/>
        </w:rPr>
      </w:pPr>
      <w:r>
        <w:rPr>
          <w:rFonts w:hint="eastAsia" w:ascii="Times New Roman" w:hAnsi="Times New Roman" w:eastAsia="仿宋_GB2312" w:cs="Times New Roman"/>
          <w:bCs/>
          <w:kern w:val="0"/>
          <w:sz w:val="32"/>
          <w:szCs w:val="32"/>
          <w:shd w:val="clear" w:color="auto" w:fill="auto"/>
          <w:lang w:val="en-US" w:eastAsia="zh-CN" w:bidi="ar-SA"/>
        </w:rPr>
        <w:t>3</w:t>
      </w:r>
      <w:r>
        <w:rPr>
          <w:rFonts w:hint="default" w:ascii="Times New Roman" w:hAnsi="Times New Roman" w:eastAsia="仿宋_GB2312" w:cs="Times New Roman"/>
          <w:bCs/>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rPr>
        <w:t>社会保障和就业支出（类）行政</w:t>
      </w:r>
      <w:r>
        <w:rPr>
          <w:rFonts w:hint="default" w:ascii="Times New Roman" w:hAnsi="Times New Roman" w:eastAsia="仿宋_GB2312" w:cs="Times New Roman"/>
          <w:kern w:val="0"/>
          <w:sz w:val="32"/>
          <w:szCs w:val="32"/>
          <w:shd w:val="clear" w:color="auto" w:fill="auto"/>
          <w:lang w:eastAsia="zh-CN"/>
        </w:rPr>
        <w:t>事业</w:t>
      </w:r>
      <w:r>
        <w:rPr>
          <w:rFonts w:hint="default" w:ascii="Times New Roman" w:hAnsi="Times New Roman" w:eastAsia="仿宋_GB2312" w:cs="Times New Roman"/>
          <w:kern w:val="0"/>
          <w:sz w:val="32"/>
          <w:szCs w:val="32"/>
          <w:shd w:val="clear" w:color="auto" w:fill="auto"/>
        </w:rPr>
        <w:t>单位</w:t>
      </w:r>
      <w:r>
        <w:rPr>
          <w:rFonts w:hint="default" w:ascii="Times New Roman" w:hAnsi="Times New Roman" w:eastAsia="仿宋_GB2312" w:cs="Times New Roman"/>
          <w:kern w:val="0"/>
          <w:sz w:val="32"/>
          <w:szCs w:val="32"/>
          <w:shd w:val="clear" w:color="auto" w:fill="auto"/>
          <w:lang w:eastAsia="zh-CN"/>
        </w:rPr>
        <w:t>养老支出</w:t>
      </w:r>
      <w:r>
        <w:rPr>
          <w:rFonts w:hint="default" w:ascii="Times New Roman" w:hAnsi="Times New Roman" w:eastAsia="仿宋_GB2312" w:cs="Times New Roman"/>
          <w:kern w:val="0"/>
          <w:sz w:val="32"/>
          <w:szCs w:val="32"/>
          <w:shd w:val="clear" w:color="auto" w:fill="auto"/>
        </w:rPr>
        <w:t>（款）</w:t>
      </w:r>
      <w:r>
        <w:rPr>
          <w:rFonts w:hint="default" w:ascii="Times New Roman" w:hAnsi="Times New Roman" w:eastAsia="仿宋_GB2312" w:cs="Times New Roman"/>
          <w:kern w:val="0"/>
          <w:sz w:val="32"/>
          <w:szCs w:val="32"/>
          <w:shd w:val="clear" w:color="auto" w:fill="auto"/>
          <w:lang w:eastAsia="zh-CN"/>
        </w:rPr>
        <w:t>行政单位离退休</w:t>
      </w:r>
      <w:r>
        <w:rPr>
          <w:rFonts w:hint="default" w:ascii="Times New Roman" w:hAnsi="Times New Roman" w:eastAsia="仿宋_GB2312" w:cs="Times New Roman"/>
          <w:kern w:val="0"/>
          <w:sz w:val="32"/>
          <w:szCs w:val="32"/>
          <w:shd w:val="clear" w:color="auto" w:fill="auto"/>
        </w:rPr>
        <w:t>（项）</w:t>
      </w:r>
      <w:r>
        <w:rPr>
          <w:rFonts w:hint="default" w:ascii="Times New Roman" w:hAnsi="Times New Roman" w:eastAsia="仿宋_GB2312" w:cs="Times New Roman"/>
          <w:kern w:val="0"/>
          <w:sz w:val="32"/>
          <w:szCs w:val="32"/>
          <w:shd w:val="clear" w:color="auto" w:fill="auto"/>
          <w:lang w:val="en-US" w:eastAsia="zh-CN" w:bidi="ar-SA"/>
        </w:rPr>
        <w:t>2025年预算</w:t>
      </w:r>
      <w:r>
        <w:rPr>
          <w:rFonts w:hint="eastAsia" w:ascii="Times New Roman" w:hAnsi="Times New Roman" w:eastAsia="仿宋_GB2312" w:cs="Times New Roman"/>
          <w:kern w:val="0"/>
          <w:sz w:val="32"/>
          <w:szCs w:val="32"/>
          <w:shd w:val="clear" w:color="auto" w:fill="auto"/>
          <w:lang w:val="en-US" w:eastAsia="zh-CN" w:bidi="ar-SA"/>
        </w:rPr>
        <w:t>3.62</w:t>
      </w:r>
      <w:r>
        <w:rPr>
          <w:rFonts w:hint="default" w:ascii="Times New Roman" w:hAnsi="Times New Roman" w:eastAsia="仿宋_GB2312" w:cs="Times New Roman"/>
          <w:kern w:val="0"/>
          <w:sz w:val="32"/>
          <w:szCs w:val="32"/>
          <w:shd w:val="clear" w:color="auto" w:fill="auto"/>
          <w:lang w:val="en-US" w:eastAsia="zh-CN" w:bidi="ar-SA"/>
        </w:rPr>
        <w:t>万元，比</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lang w:val="en-US" w:eastAsia="zh-CN" w:bidi="ar-SA"/>
        </w:rPr>
        <w:t>年预算增加</w:t>
      </w:r>
      <w:r>
        <w:rPr>
          <w:rFonts w:hint="eastAsia" w:ascii="Times New Roman" w:hAnsi="Times New Roman" w:eastAsia="仿宋_GB2312" w:cs="Times New Roman"/>
          <w:kern w:val="0"/>
          <w:sz w:val="32"/>
          <w:szCs w:val="32"/>
          <w:shd w:val="clear" w:color="auto" w:fill="auto"/>
          <w:lang w:val="en-US" w:eastAsia="zh-CN" w:bidi="ar-SA"/>
        </w:rPr>
        <w:t>0.34</w:t>
      </w:r>
      <w:r>
        <w:rPr>
          <w:rFonts w:hint="default" w:ascii="Times New Roman" w:hAnsi="Times New Roman" w:eastAsia="仿宋_GB2312" w:cs="Times New Roman"/>
          <w:kern w:val="0"/>
          <w:sz w:val="32"/>
          <w:szCs w:val="32"/>
          <w:shd w:val="clear" w:color="auto" w:fill="auto"/>
          <w:lang w:val="en-US" w:eastAsia="zh-CN" w:bidi="ar-SA"/>
        </w:rPr>
        <w:t>万元，增长</w:t>
      </w:r>
      <w:r>
        <w:rPr>
          <w:rFonts w:hint="eastAsia" w:ascii="Times New Roman" w:hAnsi="Times New Roman" w:eastAsia="仿宋_GB2312" w:cs="Times New Roman"/>
          <w:kern w:val="0"/>
          <w:sz w:val="32"/>
          <w:szCs w:val="32"/>
          <w:shd w:val="clear" w:color="auto" w:fill="auto"/>
          <w:lang w:val="en-US" w:eastAsia="zh-CN" w:bidi="ar-SA"/>
        </w:rPr>
        <w:t>10.46</w:t>
      </w:r>
      <w:r>
        <w:rPr>
          <w:rFonts w:hint="default" w:ascii="Times New Roman" w:hAnsi="Times New Roman" w:eastAsia="仿宋_GB2312" w:cs="Times New Roman"/>
          <w:kern w:val="0"/>
          <w:sz w:val="32"/>
          <w:szCs w:val="32"/>
          <w:shd w:val="clear" w:color="auto" w:fill="auto"/>
          <w:lang w:val="en-US" w:eastAsia="zh-CN" w:bidi="ar-SA"/>
        </w:rPr>
        <w:t>%，原因主要是退休人员变动。</w:t>
      </w:r>
    </w:p>
    <w:p>
      <w:pPr>
        <w:ind w:firstLine="640" w:firstLineChars="200"/>
        <w:rPr>
          <w:rFonts w:hint="default" w:ascii="Times New Roman" w:hAnsi="Times New Roman" w:eastAsia="仿宋_GB2312" w:cs="Times New Roman"/>
          <w:kern w:val="0"/>
          <w:sz w:val="32"/>
          <w:szCs w:val="32"/>
          <w:shd w:val="clear" w:color="auto" w:fill="auto"/>
          <w:lang w:val="en-US" w:eastAsia="zh-CN" w:bidi="ar-SA"/>
        </w:rPr>
      </w:pPr>
      <w:r>
        <w:rPr>
          <w:rFonts w:hint="eastAsia" w:ascii="Times New Roman" w:hAnsi="Times New Roman" w:eastAsia="仿宋_GB2312" w:cs="Times New Roman"/>
          <w:bCs/>
          <w:kern w:val="0"/>
          <w:sz w:val="32"/>
          <w:szCs w:val="32"/>
          <w:shd w:val="clear" w:color="auto" w:fill="auto"/>
          <w:lang w:val="en-US" w:eastAsia="zh-CN" w:bidi="ar-SA"/>
        </w:rPr>
        <w:t>4</w:t>
      </w:r>
      <w:r>
        <w:rPr>
          <w:rFonts w:hint="default" w:ascii="Times New Roman" w:hAnsi="Times New Roman" w:eastAsia="仿宋_GB2312" w:cs="Times New Roman"/>
          <w:bCs/>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rPr>
        <w:t>社会保障和就业支出（类）行政事业单位</w:t>
      </w:r>
      <w:r>
        <w:rPr>
          <w:rFonts w:hint="default" w:ascii="Times New Roman" w:hAnsi="Times New Roman" w:eastAsia="仿宋_GB2312" w:cs="Times New Roman"/>
          <w:kern w:val="0"/>
          <w:sz w:val="32"/>
          <w:szCs w:val="32"/>
          <w:shd w:val="clear" w:color="auto" w:fill="auto"/>
          <w:lang w:eastAsia="zh-CN"/>
        </w:rPr>
        <w:t>养老支出</w:t>
      </w:r>
      <w:r>
        <w:rPr>
          <w:rFonts w:hint="default" w:ascii="Times New Roman" w:hAnsi="Times New Roman" w:eastAsia="仿宋_GB2312" w:cs="Times New Roman"/>
          <w:kern w:val="0"/>
          <w:sz w:val="32"/>
          <w:szCs w:val="32"/>
          <w:shd w:val="clear" w:color="auto" w:fill="auto"/>
        </w:rPr>
        <w:t>（款）</w:t>
      </w:r>
      <w:r>
        <w:rPr>
          <w:rFonts w:hint="default" w:ascii="Times New Roman" w:hAnsi="Times New Roman" w:eastAsia="仿宋_GB2312" w:cs="Times New Roman"/>
          <w:bCs/>
          <w:kern w:val="0"/>
          <w:sz w:val="32"/>
          <w:szCs w:val="32"/>
          <w:shd w:val="clear" w:color="auto" w:fill="auto"/>
          <w:lang w:val="en-US" w:eastAsia="zh-CN" w:bidi="ar-SA"/>
        </w:rPr>
        <w:t>机关事业单位基本养老保险缴费支出（项）</w:t>
      </w:r>
      <w:r>
        <w:rPr>
          <w:rFonts w:hint="default" w:ascii="Times New Roman" w:hAnsi="Times New Roman" w:eastAsia="仿宋_GB2312" w:cs="Times New Roman"/>
          <w:kern w:val="0"/>
          <w:sz w:val="32"/>
          <w:szCs w:val="32"/>
          <w:shd w:val="clear" w:color="auto" w:fill="auto"/>
          <w:lang w:val="en-US" w:eastAsia="zh-CN" w:bidi="ar-SA"/>
        </w:rPr>
        <w:t>2025年预算</w:t>
      </w:r>
      <w:r>
        <w:rPr>
          <w:rFonts w:hint="eastAsia" w:ascii="Times New Roman" w:hAnsi="Times New Roman" w:eastAsia="仿宋_GB2312" w:cs="Times New Roman"/>
          <w:kern w:val="0"/>
          <w:sz w:val="32"/>
          <w:szCs w:val="32"/>
          <w:shd w:val="clear" w:color="auto" w:fill="auto"/>
          <w:lang w:val="en-US" w:eastAsia="zh-CN" w:bidi="ar-SA"/>
        </w:rPr>
        <w:t>26.84</w:t>
      </w:r>
      <w:r>
        <w:rPr>
          <w:rFonts w:hint="default" w:ascii="Times New Roman" w:hAnsi="Times New Roman" w:eastAsia="仿宋_GB2312" w:cs="Times New Roman"/>
          <w:kern w:val="0"/>
          <w:sz w:val="32"/>
          <w:szCs w:val="32"/>
          <w:shd w:val="clear" w:color="auto" w:fill="auto"/>
          <w:lang w:val="en-US" w:eastAsia="zh-CN" w:bidi="ar-SA"/>
        </w:rPr>
        <w:t>万元，比</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lang w:val="en-US" w:eastAsia="zh-CN" w:bidi="ar-SA"/>
        </w:rPr>
        <w:t>年预算增加</w:t>
      </w:r>
      <w:r>
        <w:rPr>
          <w:rFonts w:hint="eastAsia" w:ascii="Times New Roman" w:hAnsi="Times New Roman" w:eastAsia="仿宋_GB2312" w:cs="Times New Roman"/>
          <w:kern w:val="0"/>
          <w:sz w:val="32"/>
          <w:szCs w:val="32"/>
          <w:shd w:val="clear" w:color="auto" w:fill="auto"/>
          <w:lang w:val="en-US" w:eastAsia="zh-CN" w:bidi="ar-SA"/>
        </w:rPr>
        <w:t>0.44</w:t>
      </w:r>
      <w:r>
        <w:rPr>
          <w:rFonts w:hint="default" w:ascii="Times New Roman" w:hAnsi="Times New Roman" w:eastAsia="仿宋_GB2312" w:cs="Times New Roman"/>
          <w:kern w:val="0"/>
          <w:sz w:val="32"/>
          <w:szCs w:val="32"/>
          <w:shd w:val="clear" w:color="auto" w:fill="auto"/>
          <w:lang w:val="en-US" w:eastAsia="zh-CN" w:bidi="ar-SA"/>
        </w:rPr>
        <w:t>万元，增长</w:t>
      </w:r>
      <w:r>
        <w:rPr>
          <w:rFonts w:hint="eastAsia" w:ascii="Times New Roman" w:hAnsi="Times New Roman" w:eastAsia="仿宋_GB2312" w:cs="Times New Roman"/>
          <w:kern w:val="0"/>
          <w:sz w:val="32"/>
          <w:szCs w:val="32"/>
          <w:shd w:val="clear" w:color="auto" w:fill="auto"/>
          <w:lang w:val="en-US" w:eastAsia="zh-CN" w:bidi="ar-SA"/>
        </w:rPr>
        <w:t>1.67</w:t>
      </w:r>
      <w:r>
        <w:rPr>
          <w:rFonts w:hint="default" w:ascii="Times New Roman" w:hAnsi="Times New Roman" w:eastAsia="仿宋_GB2312" w:cs="Times New Roman"/>
          <w:kern w:val="0"/>
          <w:sz w:val="32"/>
          <w:szCs w:val="32"/>
          <w:shd w:val="clear" w:color="auto" w:fill="auto"/>
          <w:lang w:val="en-US" w:eastAsia="zh-CN" w:bidi="ar-SA"/>
        </w:rPr>
        <w:t>%，原因主要是机关事业单位基本养老保险基数调整。</w:t>
      </w:r>
    </w:p>
    <w:p>
      <w:pPr>
        <w:ind w:firstLine="640" w:firstLineChars="200"/>
        <w:rPr>
          <w:rFonts w:hint="default" w:ascii="Times New Roman" w:hAnsi="Times New Roman" w:eastAsia="仿宋_GB2312" w:cs="Times New Roman"/>
          <w:kern w:val="0"/>
          <w:sz w:val="32"/>
          <w:szCs w:val="32"/>
          <w:shd w:val="clear" w:color="auto" w:fill="auto"/>
          <w:lang w:val="en-US" w:eastAsia="zh-CN" w:bidi="ar-SA"/>
        </w:rPr>
      </w:pPr>
      <w:r>
        <w:rPr>
          <w:rFonts w:hint="eastAsia" w:ascii="Times New Roman" w:hAnsi="Times New Roman" w:eastAsia="仿宋_GB2312" w:cs="Times New Roman"/>
          <w:bCs/>
          <w:kern w:val="0"/>
          <w:sz w:val="32"/>
          <w:szCs w:val="32"/>
          <w:shd w:val="clear" w:color="auto" w:fill="auto"/>
          <w:lang w:val="en-US" w:eastAsia="zh-CN" w:bidi="ar-SA"/>
        </w:rPr>
        <w:t>5</w:t>
      </w:r>
      <w:r>
        <w:rPr>
          <w:rFonts w:hint="default" w:ascii="Times New Roman" w:hAnsi="Times New Roman" w:eastAsia="仿宋_GB2312" w:cs="Times New Roman"/>
          <w:bCs/>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rPr>
        <w:t>社会保障和就业支出（类）行政事业单位</w:t>
      </w:r>
      <w:r>
        <w:rPr>
          <w:rFonts w:hint="default" w:ascii="Times New Roman" w:hAnsi="Times New Roman" w:eastAsia="仿宋_GB2312" w:cs="Times New Roman"/>
          <w:kern w:val="0"/>
          <w:sz w:val="32"/>
          <w:szCs w:val="32"/>
          <w:shd w:val="clear" w:color="auto" w:fill="auto"/>
          <w:lang w:eastAsia="zh-CN"/>
        </w:rPr>
        <w:t>养老支出</w:t>
      </w:r>
      <w:r>
        <w:rPr>
          <w:rFonts w:hint="default" w:ascii="Times New Roman" w:hAnsi="Times New Roman" w:eastAsia="仿宋_GB2312" w:cs="Times New Roman"/>
          <w:kern w:val="0"/>
          <w:sz w:val="32"/>
          <w:szCs w:val="32"/>
          <w:shd w:val="clear" w:color="auto" w:fill="auto"/>
        </w:rPr>
        <w:t>（款）</w:t>
      </w:r>
      <w:r>
        <w:rPr>
          <w:rFonts w:hint="default" w:ascii="Times New Roman" w:hAnsi="Times New Roman" w:eastAsia="仿宋_GB2312" w:cs="Times New Roman"/>
          <w:bCs/>
          <w:kern w:val="0"/>
          <w:sz w:val="32"/>
          <w:szCs w:val="32"/>
          <w:shd w:val="clear" w:color="auto" w:fill="auto"/>
          <w:lang w:val="en-US" w:eastAsia="zh-CN" w:bidi="ar-SA"/>
        </w:rPr>
        <w:t>机关事业单位职业年金缴费支出（项）</w:t>
      </w:r>
      <w:r>
        <w:rPr>
          <w:rFonts w:hint="default" w:ascii="Times New Roman" w:hAnsi="Times New Roman" w:eastAsia="仿宋_GB2312" w:cs="Times New Roman"/>
          <w:kern w:val="0"/>
          <w:sz w:val="32"/>
          <w:szCs w:val="32"/>
          <w:shd w:val="clear" w:color="auto" w:fill="auto"/>
          <w:lang w:val="en-US" w:eastAsia="zh-CN" w:bidi="ar-SA"/>
        </w:rPr>
        <w:t>2025年预算</w:t>
      </w:r>
      <w:r>
        <w:rPr>
          <w:rFonts w:hint="eastAsia" w:ascii="Times New Roman" w:hAnsi="Times New Roman" w:eastAsia="仿宋_GB2312" w:cs="Times New Roman"/>
          <w:kern w:val="0"/>
          <w:sz w:val="32"/>
          <w:szCs w:val="32"/>
          <w:shd w:val="clear" w:color="auto" w:fill="auto"/>
          <w:lang w:val="en-US" w:eastAsia="zh-CN" w:bidi="ar-SA"/>
        </w:rPr>
        <w:t>13.42</w:t>
      </w:r>
      <w:r>
        <w:rPr>
          <w:rFonts w:hint="default" w:ascii="Times New Roman" w:hAnsi="Times New Roman" w:eastAsia="仿宋_GB2312" w:cs="Times New Roman"/>
          <w:kern w:val="0"/>
          <w:sz w:val="32"/>
          <w:szCs w:val="32"/>
          <w:shd w:val="clear" w:color="auto" w:fill="auto"/>
          <w:lang w:val="en-US" w:eastAsia="zh-CN" w:bidi="ar-SA"/>
        </w:rPr>
        <w:t>万元，比</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lang w:val="en-US" w:eastAsia="zh-CN" w:bidi="ar-SA"/>
        </w:rPr>
        <w:t>年预算增加</w:t>
      </w:r>
      <w:r>
        <w:rPr>
          <w:rFonts w:hint="eastAsia" w:ascii="Times New Roman" w:hAnsi="Times New Roman" w:eastAsia="仿宋_GB2312" w:cs="Times New Roman"/>
          <w:kern w:val="0"/>
          <w:sz w:val="32"/>
          <w:szCs w:val="32"/>
          <w:shd w:val="clear" w:color="auto" w:fill="auto"/>
          <w:lang w:val="en-US" w:eastAsia="zh-CN" w:bidi="ar-SA"/>
        </w:rPr>
        <w:t>0.22</w:t>
      </w:r>
      <w:r>
        <w:rPr>
          <w:rFonts w:hint="default" w:ascii="Times New Roman" w:hAnsi="Times New Roman" w:eastAsia="仿宋_GB2312" w:cs="Times New Roman"/>
          <w:kern w:val="0"/>
          <w:sz w:val="32"/>
          <w:szCs w:val="32"/>
          <w:shd w:val="clear" w:color="auto" w:fill="auto"/>
          <w:lang w:val="en-US" w:eastAsia="zh-CN" w:bidi="ar-SA"/>
        </w:rPr>
        <w:t>万元，增长1.</w:t>
      </w:r>
      <w:r>
        <w:rPr>
          <w:rFonts w:hint="eastAsia" w:ascii="Times New Roman" w:hAnsi="Times New Roman" w:eastAsia="仿宋_GB2312" w:cs="Times New Roman"/>
          <w:kern w:val="0"/>
          <w:sz w:val="32"/>
          <w:szCs w:val="32"/>
          <w:shd w:val="clear" w:color="auto" w:fill="auto"/>
          <w:lang w:val="en-US" w:eastAsia="zh-CN" w:bidi="ar-SA"/>
        </w:rPr>
        <w:t>67</w:t>
      </w:r>
      <w:r>
        <w:rPr>
          <w:rFonts w:hint="default" w:ascii="Times New Roman" w:hAnsi="Times New Roman" w:eastAsia="仿宋_GB2312" w:cs="Times New Roman"/>
          <w:kern w:val="0"/>
          <w:sz w:val="32"/>
          <w:szCs w:val="32"/>
          <w:shd w:val="clear" w:color="auto" w:fill="auto"/>
          <w:lang w:val="en-US" w:eastAsia="zh-CN" w:bidi="ar-SA"/>
        </w:rPr>
        <w:t>%，原因主要是机关事业单位职业年金基数调整。</w:t>
      </w:r>
    </w:p>
    <w:p>
      <w:pPr>
        <w:ind w:firstLine="640" w:firstLineChars="200"/>
        <w:rPr>
          <w:rFonts w:hint="default" w:ascii="Times New Roman" w:hAnsi="Times New Roman" w:eastAsia="仿宋_GB2312" w:cs="Times New Roman"/>
          <w:kern w:val="0"/>
          <w:sz w:val="32"/>
          <w:szCs w:val="32"/>
          <w:shd w:val="clear" w:color="auto" w:fill="auto"/>
          <w:lang w:val="en-US" w:eastAsia="zh-CN" w:bidi="ar-SA"/>
        </w:rPr>
      </w:pPr>
      <w:r>
        <w:rPr>
          <w:rFonts w:hint="eastAsia" w:ascii="Times New Roman" w:hAnsi="Times New Roman" w:eastAsia="仿宋_GB2312" w:cs="Times New Roman"/>
          <w:bCs/>
          <w:kern w:val="0"/>
          <w:sz w:val="32"/>
          <w:szCs w:val="32"/>
          <w:shd w:val="clear" w:color="auto" w:fill="auto"/>
          <w:lang w:val="en-US" w:eastAsia="zh-CN" w:bidi="ar-SA"/>
        </w:rPr>
        <w:t>6</w:t>
      </w:r>
      <w:r>
        <w:rPr>
          <w:rFonts w:hint="default" w:ascii="Times New Roman" w:hAnsi="Times New Roman" w:eastAsia="仿宋_GB2312" w:cs="Times New Roman"/>
          <w:bCs/>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rPr>
        <w:t>社会保障和就业支出（类）</w:t>
      </w:r>
      <w:r>
        <w:rPr>
          <w:rFonts w:hint="default" w:ascii="Times New Roman" w:hAnsi="Times New Roman" w:eastAsia="仿宋_GB2312" w:cs="Times New Roman"/>
          <w:kern w:val="0"/>
          <w:sz w:val="32"/>
          <w:szCs w:val="32"/>
          <w:shd w:val="clear" w:color="auto" w:fill="auto"/>
          <w:lang w:eastAsia="zh-CN"/>
        </w:rPr>
        <w:t>其他社会保障和就业支出</w:t>
      </w:r>
      <w:r>
        <w:rPr>
          <w:rFonts w:hint="default" w:ascii="Times New Roman" w:hAnsi="Times New Roman" w:eastAsia="仿宋_GB2312" w:cs="Times New Roman"/>
          <w:kern w:val="0"/>
          <w:sz w:val="32"/>
          <w:szCs w:val="32"/>
          <w:shd w:val="clear" w:color="auto" w:fill="auto"/>
        </w:rPr>
        <w:t>（款）</w:t>
      </w:r>
      <w:r>
        <w:rPr>
          <w:rFonts w:hint="default" w:ascii="Times New Roman" w:hAnsi="Times New Roman" w:eastAsia="仿宋_GB2312" w:cs="Times New Roman"/>
          <w:bCs/>
          <w:kern w:val="0"/>
          <w:sz w:val="32"/>
          <w:szCs w:val="32"/>
          <w:shd w:val="clear" w:color="auto" w:fill="auto"/>
          <w:lang w:val="en-US" w:eastAsia="zh-CN" w:bidi="ar-SA"/>
        </w:rPr>
        <w:t>其他社会保障和就业支出（项）</w:t>
      </w:r>
      <w:r>
        <w:rPr>
          <w:rFonts w:hint="default" w:ascii="Times New Roman" w:hAnsi="Times New Roman" w:eastAsia="仿宋_GB2312" w:cs="Times New Roman"/>
          <w:kern w:val="0"/>
          <w:sz w:val="32"/>
          <w:szCs w:val="32"/>
          <w:shd w:val="clear" w:color="auto" w:fill="auto"/>
          <w:lang w:val="en-US" w:eastAsia="zh-CN" w:bidi="ar-SA"/>
        </w:rPr>
        <w:t>2025年预算</w:t>
      </w:r>
      <w:r>
        <w:rPr>
          <w:rFonts w:hint="eastAsia" w:ascii="Times New Roman" w:hAnsi="Times New Roman" w:eastAsia="仿宋_GB2312" w:cs="Times New Roman"/>
          <w:kern w:val="0"/>
          <w:sz w:val="32"/>
          <w:szCs w:val="32"/>
          <w:shd w:val="clear" w:color="auto" w:fill="auto"/>
          <w:lang w:val="en-US" w:eastAsia="zh-CN" w:bidi="ar-SA"/>
        </w:rPr>
        <w:t>0.24</w:t>
      </w:r>
      <w:r>
        <w:rPr>
          <w:rFonts w:hint="default" w:ascii="Times New Roman" w:hAnsi="Times New Roman" w:eastAsia="仿宋_GB2312" w:cs="Times New Roman"/>
          <w:kern w:val="0"/>
          <w:sz w:val="32"/>
          <w:szCs w:val="32"/>
          <w:shd w:val="clear" w:color="auto" w:fill="auto"/>
          <w:lang w:val="en-US" w:eastAsia="zh-CN" w:bidi="ar-SA"/>
        </w:rPr>
        <w:t>万元，比</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lang w:val="en-US" w:eastAsia="zh-CN" w:bidi="ar-SA"/>
        </w:rPr>
        <w:t xml:space="preserve">年增加0万元，增长0%，原因主要是预算无变化。  </w:t>
      </w:r>
    </w:p>
    <w:p>
      <w:pPr>
        <w:ind w:firstLine="640" w:firstLineChars="200"/>
        <w:rPr>
          <w:rFonts w:hint="default" w:ascii="Times New Roman" w:hAnsi="Times New Roman" w:eastAsia="仿宋_GB2312" w:cs="Times New Roman"/>
          <w:kern w:val="0"/>
          <w:sz w:val="32"/>
          <w:szCs w:val="32"/>
          <w:shd w:val="clear" w:color="auto" w:fill="auto"/>
          <w:lang w:val="en-US" w:eastAsia="zh-CN"/>
        </w:rPr>
      </w:pPr>
      <w:r>
        <w:rPr>
          <w:rFonts w:hint="eastAsia" w:ascii="Times New Roman" w:hAnsi="Times New Roman" w:eastAsia="仿宋_GB2312" w:cs="Times New Roman"/>
          <w:bCs/>
          <w:kern w:val="0"/>
          <w:sz w:val="32"/>
          <w:szCs w:val="32"/>
          <w:shd w:val="clear" w:color="auto" w:fill="auto"/>
          <w:lang w:val="en-US" w:eastAsia="zh-CN" w:bidi="ar-SA"/>
        </w:rPr>
        <w:t>7</w:t>
      </w:r>
      <w:r>
        <w:rPr>
          <w:rFonts w:hint="default" w:ascii="Times New Roman" w:hAnsi="Times New Roman" w:eastAsia="仿宋_GB2312" w:cs="Times New Roman"/>
          <w:bCs/>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lang w:eastAsia="zh-CN"/>
        </w:rPr>
        <w:t>卫生健康</w:t>
      </w:r>
      <w:r>
        <w:rPr>
          <w:rFonts w:hint="default" w:ascii="Times New Roman" w:hAnsi="Times New Roman" w:eastAsia="仿宋_GB2312" w:cs="Times New Roman"/>
          <w:kern w:val="0"/>
          <w:sz w:val="32"/>
          <w:szCs w:val="32"/>
          <w:shd w:val="clear" w:color="auto" w:fill="auto"/>
        </w:rPr>
        <w:t>支出（类）</w:t>
      </w:r>
      <w:r>
        <w:rPr>
          <w:rFonts w:hint="default" w:ascii="Times New Roman" w:hAnsi="Times New Roman" w:eastAsia="仿宋_GB2312" w:cs="Times New Roman"/>
          <w:kern w:val="0"/>
          <w:sz w:val="32"/>
          <w:szCs w:val="32"/>
          <w:shd w:val="clear" w:color="auto" w:fill="auto"/>
          <w:lang w:eastAsia="zh-CN"/>
        </w:rPr>
        <w:t>行政事业单位医疗</w:t>
      </w:r>
      <w:r>
        <w:rPr>
          <w:rFonts w:hint="default" w:ascii="Times New Roman" w:hAnsi="Times New Roman" w:eastAsia="仿宋_GB2312" w:cs="Times New Roman"/>
          <w:kern w:val="0"/>
          <w:sz w:val="32"/>
          <w:szCs w:val="32"/>
          <w:shd w:val="clear" w:color="auto" w:fill="auto"/>
        </w:rPr>
        <w:t>（款）</w:t>
      </w:r>
      <w:r>
        <w:rPr>
          <w:rFonts w:hint="default" w:ascii="Times New Roman" w:hAnsi="Times New Roman" w:eastAsia="仿宋_GB2312" w:cs="Times New Roman"/>
          <w:bCs/>
          <w:kern w:val="0"/>
          <w:sz w:val="32"/>
          <w:szCs w:val="32"/>
          <w:shd w:val="clear" w:color="auto" w:fill="auto"/>
          <w:lang w:val="en-US" w:eastAsia="zh-CN" w:bidi="ar-SA"/>
        </w:rPr>
        <w:t>事业单位医疗（项）</w:t>
      </w:r>
      <w:r>
        <w:rPr>
          <w:rFonts w:hint="default" w:ascii="Times New Roman" w:hAnsi="Times New Roman" w:eastAsia="仿宋_GB2312" w:cs="Times New Roman"/>
          <w:kern w:val="0"/>
          <w:sz w:val="32"/>
          <w:szCs w:val="32"/>
          <w:shd w:val="clear" w:color="auto" w:fill="auto"/>
          <w:lang w:val="en-US" w:eastAsia="zh-CN" w:bidi="ar-SA"/>
        </w:rPr>
        <w:t>2025年预算</w:t>
      </w:r>
      <w:r>
        <w:rPr>
          <w:rFonts w:hint="eastAsia" w:ascii="Times New Roman" w:hAnsi="Times New Roman" w:eastAsia="仿宋_GB2312" w:cs="Times New Roman"/>
          <w:kern w:val="0"/>
          <w:sz w:val="32"/>
          <w:szCs w:val="32"/>
          <w:shd w:val="clear" w:color="auto" w:fill="auto"/>
          <w:lang w:val="en-US" w:eastAsia="zh-CN" w:bidi="ar-SA"/>
        </w:rPr>
        <w:t>8.65</w:t>
      </w:r>
      <w:r>
        <w:rPr>
          <w:rFonts w:hint="default" w:ascii="Times New Roman" w:hAnsi="Times New Roman" w:eastAsia="仿宋_GB2312" w:cs="Times New Roman"/>
          <w:kern w:val="0"/>
          <w:sz w:val="32"/>
          <w:szCs w:val="32"/>
          <w:shd w:val="clear" w:color="auto" w:fill="auto"/>
          <w:lang w:val="en-US" w:eastAsia="zh-CN" w:bidi="ar-SA"/>
        </w:rPr>
        <w:t>万元，比</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lang w:val="en-US" w:eastAsia="zh-CN" w:bidi="ar-SA"/>
        </w:rPr>
        <w:t>年预算减少</w:t>
      </w:r>
      <w:r>
        <w:rPr>
          <w:rFonts w:hint="eastAsia" w:ascii="Times New Roman" w:hAnsi="Times New Roman" w:eastAsia="仿宋_GB2312" w:cs="Times New Roman"/>
          <w:kern w:val="0"/>
          <w:sz w:val="32"/>
          <w:szCs w:val="32"/>
          <w:shd w:val="clear" w:color="auto" w:fill="auto"/>
          <w:lang w:val="en-US" w:eastAsia="zh-CN" w:bidi="ar-SA"/>
        </w:rPr>
        <w:t>1.23</w:t>
      </w:r>
      <w:r>
        <w:rPr>
          <w:rFonts w:hint="default" w:ascii="Times New Roman" w:hAnsi="Times New Roman" w:eastAsia="仿宋_GB2312" w:cs="Times New Roman"/>
          <w:kern w:val="0"/>
          <w:sz w:val="32"/>
          <w:szCs w:val="32"/>
          <w:shd w:val="clear" w:color="auto" w:fill="auto"/>
          <w:lang w:val="en-US" w:eastAsia="zh-CN" w:bidi="ar-SA"/>
        </w:rPr>
        <w:t>万元，下降</w:t>
      </w:r>
      <w:r>
        <w:rPr>
          <w:rFonts w:hint="eastAsia" w:ascii="Times New Roman" w:hAnsi="Times New Roman" w:eastAsia="仿宋_GB2312" w:cs="Times New Roman"/>
          <w:kern w:val="0"/>
          <w:sz w:val="32"/>
          <w:szCs w:val="32"/>
          <w:shd w:val="clear" w:color="auto" w:fill="auto"/>
          <w:lang w:val="en-US" w:eastAsia="zh-CN" w:bidi="ar-SA"/>
        </w:rPr>
        <w:t>12.48</w:t>
      </w:r>
      <w:r>
        <w:rPr>
          <w:rFonts w:hint="default" w:ascii="Times New Roman" w:hAnsi="Times New Roman" w:eastAsia="仿宋_GB2312" w:cs="Times New Roman"/>
          <w:kern w:val="0"/>
          <w:sz w:val="32"/>
          <w:szCs w:val="32"/>
          <w:shd w:val="clear" w:color="auto" w:fill="auto"/>
          <w:lang w:val="en-US" w:eastAsia="zh-CN" w:bidi="ar-SA"/>
        </w:rPr>
        <w:t>%，原因主要是缴费基数调整。</w:t>
      </w:r>
    </w:p>
    <w:p>
      <w:pPr>
        <w:ind w:firstLine="640" w:firstLineChars="200"/>
        <w:rPr>
          <w:rFonts w:hint="default" w:ascii="Times New Roman" w:hAnsi="Times New Roman" w:eastAsia="仿宋_GB2312" w:cs="Times New Roman"/>
          <w:kern w:val="0"/>
          <w:sz w:val="32"/>
          <w:szCs w:val="32"/>
          <w:shd w:val="clear" w:color="auto" w:fill="auto"/>
          <w:lang w:val="en-US" w:eastAsia="zh-CN" w:bidi="ar-SA"/>
        </w:rPr>
      </w:pPr>
      <w:r>
        <w:rPr>
          <w:rFonts w:hint="eastAsia" w:ascii="Times New Roman" w:hAnsi="Times New Roman" w:eastAsia="仿宋_GB2312" w:cs="Times New Roman"/>
          <w:bCs/>
          <w:kern w:val="0"/>
          <w:sz w:val="32"/>
          <w:szCs w:val="32"/>
          <w:shd w:val="clear" w:color="auto" w:fill="auto"/>
          <w:lang w:val="en-US" w:eastAsia="zh-CN" w:bidi="ar-SA"/>
        </w:rPr>
        <w:t>8</w:t>
      </w:r>
      <w:r>
        <w:rPr>
          <w:rFonts w:hint="default" w:ascii="Times New Roman" w:hAnsi="Times New Roman" w:eastAsia="仿宋_GB2312" w:cs="Times New Roman"/>
          <w:bCs/>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lang w:eastAsia="zh-CN"/>
        </w:rPr>
        <w:t>卫生健康</w:t>
      </w:r>
      <w:r>
        <w:rPr>
          <w:rFonts w:hint="default" w:ascii="Times New Roman" w:hAnsi="Times New Roman" w:eastAsia="仿宋_GB2312" w:cs="Times New Roman"/>
          <w:kern w:val="0"/>
          <w:sz w:val="32"/>
          <w:szCs w:val="32"/>
          <w:shd w:val="clear" w:color="auto" w:fill="auto"/>
        </w:rPr>
        <w:t>支出（类）</w:t>
      </w:r>
      <w:r>
        <w:rPr>
          <w:rFonts w:hint="default" w:ascii="Times New Roman" w:hAnsi="Times New Roman" w:eastAsia="仿宋_GB2312" w:cs="Times New Roman"/>
          <w:kern w:val="0"/>
          <w:sz w:val="32"/>
          <w:szCs w:val="32"/>
          <w:shd w:val="clear" w:color="auto" w:fill="auto"/>
          <w:lang w:eastAsia="zh-CN"/>
        </w:rPr>
        <w:t>行政事业单位医疗</w:t>
      </w:r>
      <w:r>
        <w:rPr>
          <w:rFonts w:hint="default" w:ascii="Times New Roman" w:hAnsi="Times New Roman" w:eastAsia="仿宋_GB2312" w:cs="Times New Roman"/>
          <w:kern w:val="0"/>
          <w:sz w:val="32"/>
          <w:szCs w:val="32"/>
          <w:shd w:val="clear" w:color="auto" w:fill="auto"/>
        </w:rPr>
        <w:t>（款）</w:t>
      </w:r>
      <w:r>
        <w:rPr>
          <w:rFonts w:hint="default" w:ascii="Times New Roman" w:hAnsi="Times New Roman" w:eastAsia="仿宋_GB2312" w:cs="Times New Roman"/>
          <w:bCs/>
          <w:kern w:val="0"/>
          <w:sz w:val="32"/>
          <w:szCs w:val="32"/>
          <w:shd w:val="clear" w:color="auto" w:fill="auto"/>
          <w:lang w:val="en-US" w:eastAsia="zh-CN" w:bidi="ar-SA"/>
        </w:rPr>
        <w:t>公务员医疗补助（项）</w:t>
      </w:r>
      <w:r>
        <w:rPr>
          <w:rFonts w:hint="default" w:ascii="Times New Roman" w:hAnsi="Times New Roman" w:eastAsia="仿宋_GB2312" w:cs="Times New Roman"/>
          <w:kern w:val="0"/>
          <w:sz w:val="32"/>
          <w:szCs w:val="32"/>
          <w:shd w:val="clear" w:color="auto" w:fill="auto"/>
          <w:lang w:val="en-US" w:eastAsia="zh-CN" w:bidi="ar-SA"/>
        </w:rPr>
        <w:t>2025年预算</w:t>
      </w:r>
      <w:r>
        <w:rPr>
          <w:rFonts w:hint="eastAsia" w:ascii="Times New Roman" w:hAnsi="Times New Roman" w:eastAsia="仿宋_GB2312" w:cs="Times New Roman"/>
          <w:kern w:val="0"/>
          <w:sz w:val="32"/>
          <w:szCs w:val="32"/>
          <w:shd w:val="clear" w:color="auto" w:fill="auto"/>
          <w:lang w:val="en-US" w:eastAsia="zh-CN" w:bidi="ar-SA"/>
        </w:rPr>
        <w:t>3.79</w:t>
      </w:r>
      <w:r>
        <w:rPr>
          <w:rFonts w:hint="default" w:ascii="Times New Roman" w:hAnsi="Times New Roman" w:eastAsia="仿宋_GB2312" w:cs="Times New Roman"/>
          <w:kern w:val="0"/>
          <w:sz w:val="32"/>
          <w:szCs w:val="32"/>
          <w:shd w:val="clear" w:color="auto" w:fill="auto"/>
          <w:lang w:val="en-US" w:eastAsia="zh-CN" w:bidi="ar-SA"/>
        </w:rPr>
        <w:t>万元，比</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lang w:val="en-US" w:eastAsia="zh-CN" w:bidi="ar-SA"/>
        </w:rPr>
        <w:t>年预算</w:t>
      </w:r>
      <w:r>
        <w:rPr>
          <w:rFonts w:hint="eastAsia" w:ascii="Times New Roman" w:hAnsi="Times New Roman" w:eastAsia="仿宋_GB2312" w:cs="Times New Roman"/>
          <w:kern w:val="0"/>
          <w:sz w:val="32"/>
          <w:szCs w:val="32"/>
          <w:shd w:val="clear" w:color="auto" w:fill="auto"/>
          <w:lang w:val="en-US" w:eastAsia="zh-CN" w:bidi="ar-SA"/>
        </w:rPr>
        <w:t>增加0.07</w:t>
      </w:r>
      <w:r>
        <w:rPr>
          <w:rFonts w:hint="default" w:ascii="Times New Roman" w:hAnsi="Times New Roman" w:eastAsia="仿宋_GB2312" w:cs="Times New Roman"/>
          <w:kern w:val="0"/>
          <w:sz w:val="32"/>
          <w:szCs w:val="32"/>
          <w:shd w:val="clear" w:color="auto" w:fill="auto"/>
          <w:lang w:val="en-US" w:eastAsia="zh-CN" w:bidi="ar-SA"/>
        </w:rPr>
        <w:t>万元，</w:t>
      </w:r>
      <w:r>
        <w:rPr>
          <w:rFonts w:hint="eastAsia" w:ascii="Times New Roman" w:hAnsi="Times New Roman" w:eastAsia="仿宋_GB2312" w:cs="Times New Roman"/>
          <w:kern w:val="0"/>
          <w:sz w:val="32"/>
          <w:szCs w:val="32"/>
          <w:shd w:val="clear" w:color="auto" w:fill="auto"/>
          <w:lang w:val="en-US" w:eastAsia="zh-CN" w:bidi="ar-SA"/>
        </w:rPr>
        <w:t>增长2</w:t>
      </w:r>
      <w:r>
        <w:rPr>
          <w:rFonts w:hint="default" w:ascii="Times New Roman" w:hAnsi="Times New Roman" w:eastAsia="仿宋_GB2312" w:cs="Times New Roman"/>
          <w:kern w:val="0"/>
          <w:sz w:val="32"/>
          <w:szCs w:val="32"/>
          <w:shd w:val="clear" w:color="auto" w:fill="auto"/>
          <w:lang w:val="en-US" w:eastAsia="zh-CN" w:bidi="ar-SA"/>
        </w:rPr>
        <w:t>%，原因主要是缴费基数调整。</w:t>
      </w:r>
    </w:p>
    <w:p>
      <w:pPr>
        <w:ind w:firstLine="640" w:firstLineChars="200"/>
        <w:rPr>
          <w:rFonts w:hint="default" w:ascii="Times New Roman" w:hAnsi="Times New Roman" w:eastAsia="仿宋_GB2312" w:cs="Times New Roman"/>
          <w:kern w:val="0"/>
          <w:sz w:val="32"/>
          <w:szCs w:val="32"/>
          <w:shd w:val="clear" w:color="auto" w:fill="auto"/>
          <w:lang w:val="en-US" w:eastAsia="zh-CN"/>
        </w:rPr>
      </w:pPr>
      <w:r>
        <w:rPr>
          <w:rFonts w:hint="eastAsia" w:ascii="Times New Roman" w:hAnsi="Times New Roman" w:eastAsia="仿宋_GB2312" w:cs="Times New Roman"/>
          <w:bCs/>
          <w:kern w:val="0"/>
          <w:sz w:val="32"/>
          <w:szCs w:val="32"/>
          <w:shd w:val="clear" w:color="auto" w:fill="auto"/>
          <w:lang w:val="en-US" w:eastAsia="zh-CN" w:bidi="ar-SA"/>
        </w:rPr>
        <w:t>9</w:t>
      </w:r>
      <w:r>
        <w:rPr>
          <w:rFonts w:hint="default" w:ascii="Times New Roman" w:hAnsi="Times New Roman" w:eastAsia="仿宋_GB2312" w:cs="Times New Roman"/>
          <w:bCs/>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lang w:eastAsia="zh-CN"/>
        </w:rPr>
        <w:t>交通运输</w:t>
      </w:r>
      <w:r>
        <w:rPr>
          <w:rFonts w:hint="default" w:ascii="Times New Roman" w:hAnsi="Times New Roman" w:eastAsia="仿宋_GB2312" w:cs="Times New Roman"/>
          <w:kern w:val="0"/>
          <w:sz w:val="32"/>
          <w:szCs w:val="32"/>
          <w:shd w:val="clear" w:color="auto" w:fill="auto"/>
        </w:rPr>
        <w:t>支出（类）</w:t>
      </w:r>
      <w:r>
        <w:rPr>
          <w:rFonts w:hint="default" w:ascii="Times New Roman" w:hAnsi="Times New Roman" w:eastAsia="仿宋_GB2312" w:cs="Times New Roman"/>
          <w:kern w:val="0"/>
          <w:sz w:val="32"/>
          <w:szCs w:val="32"/>
          <w:shd w:val="clear" w:color="auto" w:fill="auto"/>
          <w:lang w:eastAsia="zh-CN"/>
        </w:rPr>
        <w:t>其他交通运输支出</w:t>
      </w:r>
      <w:r>
        <w:rPr>
          <w:rFonts w:hint="default" w:ascii="Times New Roman" w:hAnsi="Times New Roman" w:eastAsia="仿宋_GB2312" w:cs="Times New Roman"/>
          <w:kern w:val="0"/>
          <w:sz w:val="32"/>
          <w:szCs w:val="32"/>
          <w:shd w:val="clear" w:color="auto" w:fill="auto"/>
        </w:rPr>
        <w:t>（款）</w:t>
      </w:r>
      <w:r>
        <w:rPr>
          <w:rFonts w:hint="default" w:ascii="Times New Roman" w:hAnsi="Times New Roman" w:eastAsia="仿宋_GB2312" w:cs="Times New Roman"/>
          <w:bCs/>
          <w:kern w:val="0"/>
          <w:sz w:val="32"/>
          <w:szCs w:val="32"/>
          <w:shd w:val="clear" w:color="auto" w:fill="auto"/>
          <w:lang w:val="en-US" w:eastAsia="zh-CN" w:bidi="ar-SA"/>
        </w:rPr>
        <w:t>其他交通运输支出（项）</w:t>
      </w:r>
      <w:r>
        <w:rPr>
          <w:rFonts w:hint="default" w:ascii="Times New Roman" w:hAnsi="Times New Roman" w:eastAsia="仿宋_GB2312" w:cs="Times New Roman"/>
          <w:kern w:val="0"/>
          <w:sz w:val="32"/>
          <w:szCs w:val="32"/>
          <w:shd w:val="clear" w:color="auto" w:fill="auto"/>
          <w:lang w:val="en-US" w:eastAsia="zh-CN" w:bidi="ar-SA"/>
        </w:rPr>
        <w:t>2025年预算8200万元，比</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lang w:val="en-US" w:eastAsia="zh-CN" w:bidi="ar-SA"/>
        </w:rPr>
        <w:t>年预算增加0万元，增长0%，原因主要是预算无变化</w:t>
      </w:r>
      <w:r>
        <w:rPr>
          <w:rFonts w:hint="default" w:ascii="Times New Roman" w:hAnsi="Times New Roman" w:eastAsia="仿宋_GB2312" w:cs="Times New Roman"/>
          <w:kern w:val="0"/>
          <w:sz w:val="32"/>
          <w:szCs w:val="32"/>
          <w:shd w:val="clear" w:color="auto" w:fill="auto"/>
          <w:lang w:eastAsia="zh-CN"/>
        </w:rPr>
        <w:t>。</w:t>
      </w:r>
    </w:p>
    <w:p>
      <w:pPr>
        <w:ind w:firstLine="640" w:firstLineChars="200"/>
        <w:rPr>
          <w:rFonts w:hint="default" w:ascii="Times New Roman" w:hAnsi="Times New Roman" w:eastAsia="仿宋_GB2312" w:cs="Times New Roman"/>
          <w:kern w:val="0"/>
          <w:sz w:val="32"/>
          <w:szCs w:val="32"/>
          <w:shd w:val="clear" w:color="auto" w:fill="auto"/>
          <w:lang w:val="en-US" w:eastAsia="zh-CN" w:bidi="ar-SA"/>
        </w:rPr>
      </w:pPr>
      <w:r>
        <w:rPr>
          <w:rFonts w:hint="default" w:ascii="Times New Roman" w:hAnsi="Times New Roman" w:eastAsia="仿宋_GB2312" w:cs="Times New Roman"/>
          <w:bCs/>
          <w:kern w:val="0"/>
          <w:sz w:val="32"/>
          <w:szCs w:val="32"/>
          <w:shd w:val="clear" w:color="auto" w:fill="auto"/>
          <w:lang w:val="en-US" w:eastAsia="zh-CN" w:bidi="ar-SA"/>
        </w:rPr>
        <w:t>1</w:t>
      </w:r>
      <w:r>
        <w:rPr>
          <w:rFonts w:hint="eastAsia" w:ascii="Times New Roman" w:hAnsi="Times New Roman" w:eastAsia="仿宋_GB2312" w:cs="Times New Roman"/>
          <w:bCs/>
          <w:kern w:val="0"/>
          <w:sz w:val="32"/>
          <w:szCs w:val="32"/>
          <w:shd w:val="clear" w:color="auto" w:fill="auto"/>
          <w:lang w:val="en-US" w:eastAsia="zh-CN" w:bidi="ar-SA"/>
        </w:rPr>
        <w:t>0</w:t>
      </w:r>
      <w:r>
        <w:rPr>
          <w:rFonts w:hint="default" w:ascii="Times New Roman" w:hAnsi="Times New Roman" w:eastAsia="仿宋_GB2312" w:cs="Times New Roman"/>
          <w:bCs/>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rPr>
        <w:t>住房保障支出（类）住房改革支出（款）</w:t>
      </w:r>
      <w:r>
        <w:rPr>
          <w:rFonts w:hint="default" w:ascii="Times New Roman" w:hAnsi="Times New Roman" w:eastAsia="仿宋_GB2312" w:cs="Times New Roman"/>
          <w:bCs/>
          <w:kern w:val="0"/>
          <w:sz w:val="32"/>
          <w:szCs w:val="32"/>
          <w:shd w:val="clear" w:color="auto" w:fill="auto"/>
          <w:lang w:val="en-US" w:eastAsia="zh-CN" w:bidi="ar-SA"/>
        </w:rPr>
        <w:t>住房公积金（项）</w:t>
      </w:r>
      <w:r>
        <w:rPr>
          <w:rFonts w:hint="default" w:ascii="Times New Roman" w:hAnsi="Times New Roman" w:eastAsia="仿宋_GB2312" w:cs="Times New Roman"/>
          <w:kern w:val="0"/>
          <w:sz w:val="32"/>
          <w:szCs w:val="32"/>
          <w:shd w:val="clear" w:color="auto" w:fill="auto"/>
          <w:lang w:val="en-US" w:eastAsia="zh-CN" w:bidi="ar-SA"/>
        </w:rPr>
        <w:t>2025年预算</w:t>
      </w:r>
      <w:r>
        <w:rPr>
          <w:rFonts w:hint="eastAsia" w:ascii="Times New Roman" w:hAnsi="Times New Roman" w:eastAsia="仿宋_GB2312" w:cs="Times New Roman"/>
          <w:kern w:val="0"/>
          <w:sz w:val="32"/>
          <w:szCs w:val="32"/>
          <w:shd w:val="clear" w:color="auto" w:fill="auto"/>
          <w:lang w:val="en-US" w:eastAsia="zh-CN" w:bidi="ar-SA"/>
        </w:rPr>
        <w:t>26.59</w:t>
      </w:r>
      <w:r>
        <w:rPr>
          <w:rFonts w:hint="default" w:ascii="Times New Roman" w:hAnsi="Times New Roman" w:eastAsia="仿宋_GB2312" w:cs="Times New Roman"/>
          <w:kern w:val="0"/>
          <w:sz w:val="32"/>
          <w:szCs w:val="32"/>
          <w:shd w:val="clear" w:color="auto" w:fill="auto"/>
          <w:lang w:val="en-US" w:eastAsia="zh-CN" w:bidi="ar-SA"/>
        </w:rPr>
        <w:t>万元，比</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lang w:val="en-US" w:eastAsia="zh-CN" w:bidi="ar-SA"/>
        </w:rPr>
        <w:t>年预算减少</w:t>
      </w:r>
      <w:r>
        <w:rPr>
          <w:rFonts w:hint="eastAsia" w:ascii="Times New Roman" w:hAnsi="Times New Roman" w:eastAsia="仿宋_GB2312" w:cs="Times New Roman"/>
          <w:kern w:val="0"/>
          <w:sz w:val="32"/>
          <w:szCs w:val="32"/>
          <w:shd w:val="clear" w:color="auto" w:fill="auto"/>
          <w:lang w:val="en-US" w:eastAsia="zh-CN" w:bidi="ar-SA"/>
        </w:rPr>
        <w:t>1.08</w:t>
      </w:r>
      <w:r>
        <w:rPr>
          <w:rFonts w:hint="default" w:ascii="Times New Roman" w:hAnsi="Times New Roman" w:eastAsia="仿宋_GB2312" w:cs="Times New Roman"/>
          <w:kern w:val="0"/>
          <w:sz w:val="32"/>
          <w:szCs w:val="32"/>
          <w:shd w:val="clear" w:color="auto" w:fill="auto"/>
          <w:lang w:val="en-US" w:eastAsia="zh-CN" w:bidi="ar-SA"/>
        </w:rPr>
        <w:t>万元，下降</w:t>
      </w:r>
      <w:r>
        <w:rPr>
          <w:rFonts w:hint="eastAsia" w:ascii="Times New Roman" w:hAnsi="Times New Roman" w:eastAsia="仿宋_GB2312" w:cs="Times New Roman"/>
          <w:kern w:val="0"/>
          <w:sz w:val="32"/>
          <w:szCs w:val="32"/>
          <w:shd w:val="clear" w:color="auto" w:fill="auto"/>
          <w:lang w:val="en-US" w:eastAsia="zh-CN" w:bidi="ar-SA"/>
        </w:rPr>
        <w:t>3.90</w:t>
      </w:r>
      <w:r>
        <w:rPr>
          <w:rFonts w:hint="default" w:ascii="Times New Roman" w:hAnsi="Times New Roman" w:eastAsia="仿宋_GB2312" w:cs="Times New Roman"/>
          <w:kern w:val="0"/>
          <w:sz w:val="32"/>
          <w:szCs w:val="32"/>
          <w:shd w:val="clear" w:color="auto" w:fill="auto"/>
          <w:lang w:val="en-US" w:eastAsia="zh-CN" w:bidi="ar-SA"/>
        </w:rPr>
        <w:t>%，原因主要是缴费基数调整。</w:t>
      </w:r>
    </w:p>
    <w:p>
      <w:pPr>
        <w:ind w:firstLine="640" w:firstLineChars="200"/>
        <w:rPr>
          <w:rFonts w:hint="default" w:ascii="Times New Roman" w:hAnsi="Times New Roman" w:eastAsia="仿宋_GB2312" w:cs="Times New Roman"/>
          <w:kern w:val="0"/>
          <w:sz w:val="32"/>
          <w:szCs w:val="32"/>
          <w:shd w:val="clear" w:color="auto" w:fill="auto"/>
          <w:lang w:val="en-US" w:eastAsia="zh-CN" w:bidi="ar-SA"/>
        </w:rPr>
      </w:pPr>
      <w:r>
        <w:rPr>
          <w:rFonts w:hint="default" w:ascii="Times New Roman" w:hAnsi="Times New Roman" w:eastAsia="仿宋_GB2312" w:cs="Times New Roman"/>
          <w:bCs/>
          <w:kern w:val="0"/>
          <w:sz w:val="32"/>
          <w:szCs w:val="32"/>
          <w:shd w:val="clear" w:color="auto" w:fill="auto"/>
          <w:lang w:val="en-US" w:eastAsia="zh-CN" w:bidi="ar-SA"/>
        </w:rPr>
        <w:t>1</w:t>
      </w:r>
      <w:r>
        <w:rPr>
          <w:rFonts w:hint="eastAsia" w:ascii="Times New Roman" w:hAnsi="Times New Roman" w:eastAsia="仿宋_GB2312" w:cs="Times New Roman"/>
          <w:bCs/>
          <w:kern w:val="0"/>
          <w:sz w:val="32"/>
          <w:szCs w:val="32"/>
          <w:shd w:val="clear" w:color="auto" w:fill="auto"/>
          <w:lang w:val="en-US" w:eastAsia="zh-CN" w:bidi="ar-SA"/>
        </w:rPr>
        <w:t>1</w:t>
      </w:r>
      <w:r>
        <w:rPr>
          <w:rFonts w:hint="default" w:ascii="Times New Roman" w:hAnsi="Times New Roman" w:eastAsia="仿宋_GB2312" w:cs="Times New Roman"/>
          <w:bCs/>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rPr>
        <w:t>住房保障支出（类）住房改革支出（款）</w:t>
      </w:r>
      <w:r>
        <w:rPr>
          <w:rFonts w:hint="default" w:ascii="Times New Roman" w:hAnsi="Times New Roman" w:eastAsia="仿宋_GB2312" w:cs="Times New Roman"/>
          <w:bCs/>
          <w:kern w:val="0"/>
          <w:sz w:val="32"/>
          <w:szCs w:val="32"/>
          <w:shd w:val="clear" w:color="auto" w:fill="auto"/>
          <w:lang w:val="en-US" w:eastAsia="zh-CN" w:bidi="ar-SA"/>
        </w:rPr>
        <w:t>提租补贴（项）</w:t>
      </w:r>
      <w:r>
        <w:rPr>
          <w:rFonts w:hint="default" w:ascii="Times New Roman" w:hAnsi="Times New Roman" w:eastAsia="仿宋_GB2312" w:cs="Times New Roman"/>
          <w:kern w:val="0"/>
          <w:sz w:val="32"/>
          <w:szCs w:val="32"/>
          <w:shd w:val="clear" w:color="auto" w:fill="auto"/>
          <w:lang w:val="en-US" w:eastAsia="zh-CN" w:bidi="ar-SA"/>
        </w:rPr>
        <w:t>2025年预算</w:t>
      </w:r>
      <w:r>
        <w:rPr>
          <w:rFonts w:hint="eastAsia" w:ascii="Times New Roman" w:hAnsi="Times New Roman" w:eastAsia="仿宋_GB2312" w:cs="Times New Roman"/>
          <w:kern w:val="0"/>
          <w:sz w:val="32"/>
          <w:szCs w:val="32"/>
          <w:shd w:val="clear" w:color="auto" w:fill="auto"/>
          <w:lang w:val="en-US" w:eastAsia="zh-CN" w:bidi="ar-SA"/>
        </w:rPr>
        <w:t>6.65</w:t>
      </w:r>
      <w:r>
        <w:rPr>
          <w:rFonts w:hint="default" w:ascii="Times New Roman" w:hAnsi="Times New Roman" w:eastAsia="仿宋_GB2312" w:cs="Times New Roman"/>
          <w:kern w:val="0"/>
          <w:sz w:val="32"/>
          <w:szCs w:val="32"/>
          <w:shd w:val="clear" w:color="auto" w:fill="auto"/>
          <w:lang w:val="en-US" w:eastAsia="zh-CN" w:bidi="ar-SA"/>
        </w:rPr>
        <w:t>万元，比</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lang w:val="en-US" w:eastAsia="zh-CN" w:bidi="ar-SA"/>
        </w:rPr>
        <w:t>年预算减少</w:t>
      </w:r>
      <w:r>
        <w:rPr>
          <w:rFonts w:hint="eastAsia" w:ascii="Times New Roman" w:hAnsi="Times New Roman" w:eastAsia="仿宋_GB2312" w:cs="Times New Roman"/>
          <w:kern w:val="0"/>
          <w:sz w:val="32"/>
          <w:szCs w:val="32"/>
          <w:shd w:val="clear" w:color="auto" w:fill="auto"/>
          <w:lang w:val="en-US" w:eastAsia="zh-CN" w:bidi="ar-SA"/>
        </w:rPr>
        <w:t>0.27</w:t>
      </w:r>
      <w:r>
        <w:rPr>
          <w:rFonts w:hint="default" w:ascii="Times New Roman" w:hAnsi="Times New Roman" w:eastAsia="仿宋_GB2312" w:cs="Times New Roman"/>
          <w:kern w:val="0"/>
          <w:sz w:val="32"/>
          <w:szCs w:val="32"/>
          <w:shd w:val="clear" w:color="auto" w:fill="auto"/>
          <w:lang w:val="en-US" w:eastAsia="zh-CN" w:bidi="ar-SA"/>
        </w:rPr>
        <w:t>万元，下降</w:t>
      </w:r>
      <w:r>
        <w:rPr>
          <w:rFonts w:hint="eastAsia" w:ascii="Times New Roman" w:hAnsi="Times New Roman" w:eastAsia="仿宋_GB2312" w:cs="Times New Roman"/>
          <w:kern w:val="0"/>
          <w:sz w:val="32"/>
          <w:szCs w:val="32"/>
          <w:shd w:val="clear" w:color="auto" w:fill="auto"/>
          <w:lang w:val="en-US" w:eastAsia="zh-CN" w:bidi="ar-SA"/>
        </w:rPr>
        <w:t>3.90</w:t>
      </w:r>
      <w:r>
        <w:rPr>
          <w:rFonts w:hint="default" w:ascii="Times New Roman" w:hAnsi="Times New Roman" w:eastAsia="仿宋_GB2312" w:cs="Times New Roman"/>
          <w:kern w:val="0"/>
          <w:sz w:val="32"/>
          <w:szCs w:val="32"/>
          <w:shd w:val="clear" w:color="auto" w:fill="auto"/>
          <w:lang w:val="en-US" w:eastAsia="zh-CN" w:bidi="ar-SA"/>
        </w:rPr>
        <w:t>%，原因主要是人员变动。</w:t>
      </w:r>
    </w:p>
    <w:p>
      <w:pPr>
        <w:ind w:firstLine="640" w:firstLineChars="200"/>
        <w:rPr>
          <w:rFonts w:hint="default" w:ascii="Times New Roman" w:hAnsi="Times New Roman" w:eastAsia="仿宋_GB2312" w:cs="Times New Roman"/>
          <w:kern w:val="0"/>
          <w:sz w:val="32"/>
          <w:szCs w:val="32"/>
          <w:highlight w:val="none"/>
          <w:shd w:val="clear" w:color="auto" w:fill="auto"/>
          <w:lang w:val="en-US" w:eastAsia="zh-CN" w:bidi="ar-SA"/>
        </w:rPr>
      </w:pPr>
      <w:r>
        <w:rPr>
          <w:rFonts w:hint="default" w:ascii="Times New Roman" w:hAnsi="Times New Roman" w:eastAsia="仿宋_GB2312" w:cs="Times New Roman"/>
          <w:bCs/>
          <w:kern w:val="0"/>
          <w:sz w:val="32"/>
          <w:szCs w:val="32"/>
          <w:shd w:val="clear" w:color="auto" w:fill="auto"/>
          <w:lang w:val="en-US" w:eastAsia="zh-CN" w:bidi="ar-SA"/>
        </w:rPr>
        <w:t>1</w:t>
      </w:r>
      <w:r>
        <w:rPr>
          <w:rFonts w:hint="eastAsia" w:ascii="Times New Roman" w:hAnsi="Times New Roman" w:eastAsia="仿宋_GB2312" w:cs="Times New Roman"/>
          <w:bCs/>
          <w:kern w:val="0"/>
          <w:sz w:val="32"/>
          <w:szCs w:val="32"/>
          <w:shd w:val="clear" w:color="auto" w:fill="auto"/>
          <w:lang w:val="en-US" w:eastAsia="zh-CN" w:bidi="ar-SA"/>
        </w:rPr>
        <w:t>2</w:t>
      </w:r>
      <w:r>
        <w:rPr>
          <w:rFonts w:hint="default" w:ascii="Times New Roman" w:hAnsi="Times New Roman" w:eastAsia="仿宋_GB2312" w:cs="Times New Roman"/>
          <w:bCs/>
          <w:kern w:val="0"/>
          <w:sz w:val="32"/>
          <w:szCs w:val="32"/>
          <w:shd w:val="clear" w:color="auto" w:fill="auto"/>
          <w:lang w:val="en-US" w:eastAsia="zh-CN" w:bidi="ar-SA"/>
        </w:rPr>
        <w:t>.</w:t>
      </w:r>
      <w:r>
        <w:rPr>
          <w:rFonts w:hint="default" w:ascii="Times New Roman" w:hAnsi="Times New Roman" w:eastAsia="仿宋_GB2312" w:cs="Times New Roman"/>
          <w:kern w:val="0"/>
          <w:sz w:val="32"/>
          <w:szCs w:val="32"/>
          <w:shd w:val="clear" w:color="auto" w:fill="auto"/>
        </w:rPr>
        <w:t>住房保障支出（类）住房改革支出（款）</w:t>
      </w:r>
      <w:r>
        <w:rPr>
          <w:rFonts w:hint="default" w:ascii="Times New Roman" w:hAnsi="Times New Roman" w:eastAsia="仿宋_GB2312" w:cs="Times New Roman"/>
          <w:bCs/>
          <w:kern w:val="0"/>
          <w:sz w:val="32"/>
          <w:szCs w:val="32"/>
          <w:shd w:val="clear" w:color="auto" w:fill="auto"/>
          <w:lang w:val="en-US" w:eastAsia="zh-CN" w:bidi="ar-SA"/>
        </w:rPr>
        <w:t>购房补贴（项）</w:t>
      </w:r>
      <w:r>
        <w:rPr>
          <w:rFonts w:hint="default" w:ascii="Times New Roman" w:hAnsi="Times New Roman" w:eastAsia="仿宋_GB2312" w:cs="Times New Roman"/>
          <w:kern w:val="0"/>
          <w:sz w:val="32"/>
          <w:szCs w:val="32"/>
          <w:shd w:val="clear" w:color="auto" w:fill="auto"/>
          <w:lang w:val="en-US" w:eastAsia="zh-CN" w:bidi="ar-SA"/>
        </w:rPr>
        <w:t>2025年预算</w:t>
      </w:r>
      <w:r>
        <w:rPr>
          <w:rFonts w:hint="eastAsia" w:ascii="Times New Roman" w:hAnsi="Times New Roman" w:eastAsia="仿宋_GB2312" w:cs="Times New Roman"/>
          <w:kern w:val="0"/>
          <w:sz w:val="32"/>
          <w:szCs w:val="32"/>
          <w:shd w:val="clear" w:color="auto" w:fill="auto"/>
          <w:lang w:val="en-US" w:eastAsia="zh-CN" w:bidi="ar-SA"/>
        </w:rPr>
        <w:t>11.08</w:t>
      </w:r>
      <w:r>
        <w:rPr>
          <w:rFonts w:hint="default" w:ascii="Times New Roman" w:hAnsi="Times New Roman" w:eastAsia="仿宋_GB2312" w:cs="Times New Roman"/>
          <w:kern w:val="0"/>
          <w:sz w:val="32"/>
          <w:szCs w:val="32"/>
          <w:shd w:val="clear" w:color="auto" w:fill="auto"/>
          <w:lang w:val="en-US" w:eastAsia="zh-CN" w:bidi="ar-SA"/>
        </w:rPr>
        <w:t>万元，比</w:t>
      </w:r>
      <w:r>
        <w:rPr>
          <w:rFonts w:hint="default" w:ascii="Times New Roman" w:hAnsi="Times New Roman" w:eastAsia="仿宋_GB2312" w:cs="Times New Roman"/>
          <w:kern w:val="0"/>
          <w:sz w:val="32"/>
          <w:szCs w:val="32"/>
          <w:shd w:val="clear" w:color="auto" w:fill="auto"/>
        </w:rPr>
        <w:t>202</w:t>
      </w:r>
      <w:r>
        <w:rPr>
          <w:rFonts w:hint="default" w:ascii="Times New Roman" w:hAnsi="Times New Roman" w:eastAsia="仿宋_GB2312" w:cs="Times New Roman"/>
          <w:kern w:val="0"/>
          <w:sz w:val="32"/>
          <w:szCs w:val="32"/>
          <w:shd w:val="clear" w:color="auto" w:fill="auto"/>
          <w:lang w:val="en-US" w:eastAsia="zh-CN"/>
        </w:rPr>
        <w:t>4</w:t>
      </w:r>
      <w:r>
        <w:rPr>
          <w:rFonts w:hint="default" w:ascii="Times New Roman" w:hAnsi="Times New Roman" w:eastAsia="仿宋_GB2312" w:cs="Times New Roman"/>
          <w:kern w:val="0"/>
          <w:sz w:val="32"/>
          <w:szCs w:val="32"/>
          <w:shd w:val="clear" w:color="auto" w:fill="auto"/>
          <w:lang w:val="en-US" w:eastAsia="zh-CN" w:bidi="ar-SA"/>
        </w:rPr>
        <w:t>年预算减少</w:t>
      </w:r>
      <w:r>
        <w:rPr>
          <w:rFonts w:hint="eastAsia" w:ascii="Times New Roman" w:hAnsi="Times New Roman" w:eastAsia="仿宋_GB2312" w:cs="Times New Roman"/>
          <w:kern w:val="0"/>
          <w:sz w:val="32"/>
          <w:szCs w:val="32"/>
          <w:shd w:val="clear" w:color="auto" w:fill="auto"/>
          <w:lang w:val="en-US" w:eastAsia="zh-CN" w:bidi="ar-SA"/>
        </w:rPr>
        <w:t>0.45</w:t>
      </w:r>
      <w:r>
        <w:rPr>
          <w:rFonts w:hint="default" w:ascii="Times New Roman" w:hAnsi="Times New Roman" w:eastAsia="仿宋_GB2312" w:cs="Times New Roman"/>
          <w:kern w:val="0"/>
          <w:sz w:val="32"/>
          <w:szCs w:val="32"/>
          <w:shd w:val="clear" w:color="auto" w:fill="auto"/>
          <w:lang w:val="en-US" w:eastAsia="zh-CN" w:bidi="ar-SA"/>
        </w:rPr>
        <w:t>万元，下降</w:t>
      </w:r>
      <w:r>
        <w:rPr>
          <w:rFonts w:hint="eastAsia" w:ascii="Times New Roman" w:hAnsi="Times New Roman" w:eastAsia="仿宋_GB2312" w:cs="Times New Roman"/>
          <w:kern w:val="0"/>
          <w:sz w:val="32"/>
          <w:szCs w:val="32"/>
          <w:shd w:val="clear" w:color="auto" w:fill="auto"/>
          <w:lang w:val="en-US" w:eastAsia="zh-CN" w:bidi="ar-SA"/>
        </w:rPr>
        <w:t>3.90</w:t>
      </w:r>
      <w:r>
        <w:rPr>
          <w:rFonts w:hint="default" w:ascii="Times New Roman" w:hAnsi="Times New Roman" w:eastAsia="仿宋_GB2312" w:cs="Times New Roman"/>
          <w:kern w:val="0"/>
          <w:sz w:val="32"/>
          <w:szCs w:val="32"/>
          <w:shd w:val="clear" w:color="auto" w:fill="auto"/>
          <w:lang w:val="en-US" w:eastAsia="zh-CN" w:bidi="ar-SA"/>
        </w:rPr>
        <w:t>%，原因</w:t>
      </w:r>
      <w:r>
        <w:rPr>
          <w:rFonts w:hint="default" w:ascii="Times New Roman" w:hAnsi="Times New Roman" w:eastAsia="仿宋_GB2312" w:cs="Times New Roman"/>
          <w:kern w:val="0"/>
          <w:sz w:val="32"/>
          <w:szCs w:val="32"/>
          <w:highlight w:val="none"/>
          <w:shd w:val="clear" w:color="auto" w:fill="auto"/>
          <w:lang w:val="en-US" w:eastAsia="zh-CN" w:bidi="ar-SA"/>
        </w:rPr>
        <w:t>主要是人员变动。</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六、关于2025年一般公共预算基本支出表的说明</w:t>
      </w:r>
    </w:p>
    <w:p>
      <w:pPr>
        <w:ind w:firstLine="640" w:firstLineChars="200"/>
        <w:jc w:val="both"/>
        <w:rPr>
          <w:rFonts w:hint="default" w:ascii="Times New Roman" w:hAnsi="Times New Roman" w:eastAsia="仿宋_GB2312" w:cs="Times New Roman"/>
          <w:kern w:val="0"/>
          <w:sz w:val="32"/>
          <w:szCs w:val="32"/>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kern w:val="0"/>
          <w:sz w:val="32"/>
          <w:szCs w:val="32"/>
        </w:rPr>
        <w:t>2025年一般公共预算基本</w:t>
      </w:r>
      <w:r>
        <w:rPr>
          <w:rFonts w:hint="default" w:ascii="Times New Roman" w:hAnsi="Times New Roman" w:eastAsia="仿宋_GB2312" w:cs="Times New Roman"/>
          <w:kern w:val="0"/>
          <w:sz w:val="32"/>
          <w:szCs w:val="32"/>
          <w:lang w:eastAsia="zh-CN"/>
        </w:rPr>
        <w:t>支出</w:t>
      </w:r>
      <w:r>
        <w:rPr>
          <w:rFonts w:hint="eastAsia" w:ascii="Times New Roman" w:hAnsi="Times New Roman" w:eastAsia="仿宋_GB2312" w:cs="Times New Roman"/>
          <w:kern w:val="0"/>
          <w:sz w:val="32"/>
          <w:szCs w:val="32"/>
          <w:lang w:val="en-US" w:eastAsia="zh-CN"/>
        </w:rPr>
        <w:t>319.57</w:t>
      </w:r>
      <w:r>
        <w:rPr>
          <w:rFonts w:hint="default" w:ascii="Times New Roman" w:hAnsi="Times New Roman" w:eastAsia="仿宋_GB2312" w:cs="Times New Roman"/>
          <w:kern w:val="0"/>
          <w:sz w:val="32"/>
          <w:szCs w:val="32"/>
        </w:rPr>
        <w:t>万元，其中，人员经费</w:t>
      </w:r>
      <w:r>
        <w:rPr>
          <w:rFonts w:hint="eastAsia" w:ascii="Times New Roman" w:hAnsi="Times New Roman" w:eastAsia="仿宋_GB2312" w:cs="Times New Roman"/>
          <w:kern w:val="0"/>
          <w:sz w:val="32"/>
          <w:szCs w:val="32"/>
          <w:lang w:val="en-US" w:eastAsia="zh-CN"/>
        </w:rPr>
        <w:t>278.47</w:t>
      </w:r>
      <w:r>
        <w:rPr>
          <w:rFonts w:hint="default" w:ascii="Times New Roman" w:hAnsi="Times New Roman" w:eastAsia="仿宋_GB2312" w:cs="Times New Roman"/>
          <w:kern w:val="0"/>
          <w:sz w:val="32"/>
          <w:szCs w:val="32"/>
        </w:rPr>
        <w:t>万元，公用经费</w:t>
      </w:r>
      <w:r>
        <w:rPr>
          <w:rFonts w:hint="eastAsia" w:ascii="Times New Roman" w:hAnsi="Times New Roman" w:eastAsia="仿宋_GB2312" w:cs="Times New Roman"/>
          <w:kern w:val="0"/>
          <w:sz w:val="32"/>
          <w:szCs w:val="32"/>
          <w:lang w:val="en-US" w:eastAsia="zh-CN"/>
        </w:rPr>
        <w:t>41.10</w:t>
      </w:r>
      <w:r>
        <w:rPr>
          <w:rFonts w:hint="default" w:ascii="Times New Roman" w:hAnsi="Times New Roman" w:eastAsia="仿宋_GB2312" w:cs="Times New Roman"/>
          <w:kern w:val="0"/>
          <w:sz w:val="32"/>
          <w:szCs w:val="32"/>
        </w:rPr>
        <w:t>万元。</w:t>
      </w:r>
    </w:p>
    <w:p>
      <w:pPr>
        <w:ind w:firstLine="643"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
          <w:kern w:val="0"/>
          <w:sz w:val="32"/>
          <w:szCs w:val="32"/>
        </w:rPr>
        <w:t>（一）人员经费</w:t>
      </w:r>
      <w:r>
        <w:rPr>
          <w:rFonts w:hint="eastAsia" w:ascii="Times New Roman" w:hAnsi="Times New Roman" w:eastAsia="仿宋_GB2312" w:cs="Times New Roman"/>
          <w:b/>
          <w:kern w:val="0"/>
          <w:sz w:val="32"/>
          <w:szCs w:val="32"/>
          <w:lang w:val="en-US" w:eastAsia="zh-CN"/>
        </w:rPr>
        <w:t>278.47</w:t>
      </w:r>
      <w:r>
        <w:rPr>
          <w:rFonts w:hint="default" w:ascii="Times New Roman" w:hAnsi="Times New Roman" w:eastAsia="仿宋_GB2312" w:cs="Times New Roman"/>
          <w:b/>
          <w:kern w:val="0"/>
          <w:sz w:val="32"/>
          <w:szCs w:val="32"/>
        </w:rPr>
        <w:t>万元，</w:t>
      </w:r>
      <w:r>
        <w:rPr>
          <w:rFonts w:hint="default" w:ascii="Times New Roman" w:hAnsi="Times New Roman" w:eastAsia="仿宋_GB2312" w:cs="Times New Roman"/>
          <w:kern w:val="0"/>
          <w:sz w:val="32"/>
          <w:szCs w:val="32"/>
        </w:rPr>
        <w:t>主要包括:基本工资、津贴补贴、奖金、伙食补助费、绩效工资、机关事业单位基本养老保险费、职业年金缴费、职工基本医疗保险缴费、公务员医疗补助缴费、其他社会保障缴费、工会经费、福利费、住房公积金、医疗费、其他工资福利支出、离休费、退休费、生活补助、医疗费补助、对其他个人和家庭的补助支出</w:t>
      </w:r>
      <w:r>
        <w:rPr>
          <w:rFonts w:hint="default" w:ascii="Times New Roman" w:hAnsi="Times New Roman" w:eastAsia="仿宋_GB2312" w:cs="Times New Roman"/>
          <w:kern w:val="0"/>
          <w:sz w:val="32"/>
          <w:szCs w:val="32"/>
          <w:lang w:eastAsia="zh-CN"/>
        </w:rPr>
        <w:t>等</w:t>
      </w:r>
      <w:r>
        <w:rPr>
          <w:rFonts w:hint="default" w:ascii="Times New Roman" w:hAnsi="Times New Roman" w:eastAsia="仿宋_GB2312" w:cs="Times New Roman"/>
          <w:kern w:val="0"/>
          <w:sz w:val="32"/>
          <w:szCs w:val="32"/>
        </w:rPr>
        <w:t>。</w:t>
      </w:r>
    </w:p>
    <w:p>
      <w:pPr>
        <w:ind w:firstLine="643"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
          <w:kern w:val="0"/>
          <w:sz w:val="32"/>
          <w:szCs w:val="32"/>
        </w:rPr>
        <w:t>（二）公用经费</w:t>
      </w:r>
      <w:r>
        <w:rPr>
          <w:rFonts w:hint="eastAsia" w:ascii="Times New Roman" w:hAnsi="Times New Roman" w:eastAsia="仿宋_GB2312" w:cs="Times New Roman"/>
          <w:b/>
          <w:kern w:val="0"/>
          <w:sz w:val="32"/>
          <w:szCs w:val="32"/>
          <w:lang w:val="en-US" w:eastAsia="zh-CN"/>
        </w:rPr>
        <w:t>41.10</w:t>
      </w:r>
      <w:r>
        <w:rPr>
          <w:rFonts w:hint="default" w:ascii="Times New Roman" w:hAnsi="Times New Roman" w:eastAsia="仿宋_GB2312" w:cs="Times New Roman"/>
          <w:b/>
          <w:kern w:val="0"/>
          <w:sz w:val="32"/>
          <w:szCs w:val="32"/>
        </w:rPr>
        <w:t>万元，</w:t>
      </w:r>
      <w:r>
        <w:rPr>
          <w:rFonts w:hint="default" w:ascii="Times New Roman" w:hAnsi="Times New Roman" w:eastAsia="仿宋_GB2312" w:cs="Times New Roman"/>
          <w:kern w:val="0"/>
          <w:sz w:val="32"/>
          <w:szCs w:val="32"/>
        </w:rPr>
        <w:t>主要包括：办公费、印刷费、水费、电费、邮电费、物业管理费、差旅费、维修（护）费、会议费、培训费、公务接待费、劳务费、委托业务费、公务用车运行维护费、其他交通费用、其他商品服务支出等。</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七、关于2025年政府性基金预算支出表的说明</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kern w:val="0"/>
          <w:sz w:val="32"/>
          <w:szCs w:val="32"/>
        </w:rPr>
        <w:t>2025年没有政府性基金预算拨款收入，也没有使用政府性基金预算拨款安排的支出。</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八、关于2025年国有资本经营预算支出表的说明</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kern w:val="0"/>
          <w:sz w:val="32"/>
          <w:szCs w:val="32"/>
        </w:rPr>
        <w:t>2025年没有国有资本经营预算拨款收入，也没有使用国有资本经营预算拨</w:t>
      </w:r>
      <w:r>
        <w:rPr>
          <w:rFonts w:hint="eastAsia" w:ascii="Times New Roman" w:hAnsi="Times New Roman" w:eastAsia="仿宋_GB2312" w:cs="Times New Roman"/>
          <w:kern w:val="0"/>
          <w:sz w:val="32"/>
          <w:szCs w:val="32"/>
          <w:lang w:val="en-US" w:eastAsia="zh-CN"/>
        </w:rPr>
        <w:t xml:space="preserve"> </w:t>
      </w:r>
      <w:r>
        <w:rPr>
          <w:rFonts w:hint="default" w:ascii="Times New Roman" w:hAnsi="Times New Roman" w:eastAsia="仿宋_GB2312" w:cs="Times New Roman"/>
          <w:kern w:val="0"/>
          <w:sz w:val="32"/>
          <w:szCs w:val="32"/>
        </w:rPr>
        <w:t>款安排的支出。</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九、关于2025年项目支出表的说明</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kern w:val="0"/>
          <w:sz w:val="32"/>
          <w:szCs w:val="32"/>
        </w:rPr>
        <w:t>2025年预算共安排项目支出</w:t>
      </w:r>
      <w:r>
        <w:rPr>
          <w:rFonts w:hint="eastAsia" w:ascii="Times New Roman" w:hAnsi="Times New Roman" w:eastAsia="仿宋_GB2312" w:cs="Times New Roman"/>
          <w:kern w:val="0"/>
          <w:sz w:val="32"/>
          <w:szCs w:val="32"/>
          <w:lang w:val="en-US" w:eastAsia="zh-CN"/>
        </w:rPr>
        <w:t>8228.48</w:t>
      </w:r>
      <w:r>
        <w:rPr>
          <w:rFonts w:hint="default" w:ascii="Times New Roman" w:hAnsi="Times New Roman" w:eastAsia="仿宋_GB2312" w:cs="Times New Roman"/>
          <w:kern w:val="0"/>
          <w:sz w:val="32"/>
          <w:szCs w:val="32"/>
        </w:rPr>
        <w:t>万元，比2024年预算</w:t>
      </w:r>
      <w:r>
        <w:rPr>
          <w:rFonts w:hint="eastAsia" w:ascii="Times New Roman" w:hAnsi="Times New Roman" w:eastAsia="仿宋_GB2312" w:cs="Times New Roman"/>
          <w:kern w:val="0"/>
          <w:sz w:val="32"/>
          <w:szCs w:val="32"/>
          <w:lang w:eastAsia="zh-CN"/>
        </w:rPr>
        <w:t>减少</w:t>
      </w:r>
      <w:r>
        <w:rPr>
          <w:rFonts w:hint="eastAsia" w:ascii="Times New Roman" w:hAnsi="Times New Roman" w:eastAsia="仿宋_GB2312" w:cs="Times New Roman"/>
          <w:kern w:val="0"/>
          <w:sz w:val="32"/>
          <w:szCs w:val="32"/>
          <w:lang w:val="en-US" w:eastAsia="zh-CN"/>
        </w:rPr>
        <w:t>5.92</w:t>
      </w:r>
      <w:r>
        <w:rPr>
          <w:rFonts w:hint="default" w:ascii="Times New Roman" w:hAnsi="Times New Roman" w:eastAsia="仿宋_GB2312" w:cs="Times New Roman"/>
          <w:kern w:val="0"/>
          <w:sz w:val="32"/>
          <w:szCs w:val="32"/>
        </w:rPr>
        <w:t>万元，</w:t>
      </w:r>
      <w:r>
        <w:rPr>
          <w:rFonts w:hint="eastAsia" w:ascii="Times New Roman" w:hAnsi="Times New Roman" w:eastAsia="仿宋_GB2312" w:cs="Times New Roman"/>
          <w:kern w:val="0"/>
          <w:sz w:val="32"/>
          <w:szCs w:val="32"/>
          <w:lang w:eastAsia="zh-CN"/>
        </w:rPr>
        <w:t>减少</w:t>
      </w:r>
      <w:r>
        <w:rPr>
          <w:rFonts w:hint="eastAsia" w:ascii="Times New Roman" w:hAnsi="Times New Roman" w:eastAsia="仿宋_GB2312" w:cs="Times New Roman"/>
          <w:kern w:val="0"/>
          <w:sz w:val="32"/>
          <w:szCs w:val="32"/>
          <w:lang w:val="en-US" w:eastAsia="zh-CN"/>
        </w:rPr>
        <w:t>0.07</w:t>
      </w:r>
      <w:r>
        <w:rPr>
          <w:rFonts w:hint="default" w:ascii="Times New Roman" w:hAnsi="Times New Roman" w:eastAsia="仿宋_GB2312" w:cs="Times New Roman"/>
          <w:kern w:val="0"/>
          <w:sz w:val="32"/>
          <w:szCs w:val="32"/>
        </w:rPr>
        <w:t>%，原因主要是</w:t>
      </w:r>
      <w:r>
        <w:rPr>
          <w:rFonts w:hint="eastAsia" w:ascii="TimesNewRoman" w:hAnsi="TimesNewRoman" w:eastAsia="仿宋_GB2312" w:cs="TimesNewRoman"/>
          <w:kern w:val="0"/>
          <w:sz w:val="32"/>
          <w:szCs w:val="32"/>
          <w:shd w:val="clear" w:color="auto" w:fill="auto"/>
          <w:lang w:val="en-US" w:eastAsia="zh-CN"/>
        </w:rPr>
        <w:t>重点项目工作经费</w:t>
      </w:r>
      <w:r>
        <w:rPr>
          <w:rFonts w:hint="default" w:ascii="Times New Roman" w:hAnsi="Times New Roman" w:eastAsia="仿宋_GB2312" w:cs="Times New Roman"/>
          <w:kern w:val="0"/>
          <w:sz w:val="32"/>
          <w:szCs w:val="32"/>
          <w:shd w:val="clear" w:color="auto" w:fill="auto"/>
          <w:lang w:val="en-US" w:eastAsia="zh-CN"/>
        </w:rPr>
        <w:t>预算金额减少</w:t>
      </w:r>
      <w:r>
        <w:rPr>
          <w:rFonts w:hint="default" w:ascii="Times New Roman" w:hAnsi="Times New Roman" w:eastAsia="仿宋_GB2312" w:cs="Times New Roman"/>
          <w:kern w:val="0"/>
          <w:sz w:val="32"/>
          <w:szCs w:val="32"/>
        </w:rPr>
        <w:t>。主要包括：本年财政拨款安排</w:t>
      </w:r>
      <w:r>
        <w:rPr>
          <w:rFonts w:hint="eastAsia" w:ascii="Times New Roman" w:hAnsi="Times New Roman" w:eastAsia="仿宋_GB2312" w:cs="Times New Roman"/>
          <w:kern w:val="0"/>
          <w:sz w:val="32"/>
          <w:szCs w:val="32"/>
          <w:lang w:val="en-US" w:eastAsia="zh-CN"/>
        </w:rPr>
        <w:t>8228.48</w:t>
      </w:r>
      <w:r>
        <w:rPr>
          <w:rFonts w:hint="default" w:ascii="Times New Roman" w:hAnsi="Times New Roman" w:eastAsia="仿宋_GB2312" w:cs="Times New Roman"/>
          <w:kern w:val="0"/>
          <w:sz w:val="32"/>
          <w:szCs w:val="32"/>
        </w:rPr>
        <w:t>万元（其中，一般公共预算拨款安排</w:t>
      </w:r>
      <w:r>
        <w:rPr>
          <w:rFonts w:hint="eastAsia" w:ascii="Times New Roman" w:hAnsi="Times New Roman" w:eastAsia="仿宋_GB2312" w:cs="Times New Roman"/>
          <w:kern w:val="0"/>
          <w:sz w:val="32"/>
          <w:szCs w:val="32"/>
          <w:lang w:val="en-US" w:eastAsia="zh-CN"/>
        </w:rPr>
        <w:t>8228.48</w:t>
      </w:r>
      <w:r>
        <w:rPr>
          <w:rFonts w:hint="default" w:ascii="Times New Roman" w:hAnsi="Times New Roman" w:eastAsia="仿宋_GB2312" w:cs="Times New Roman"/>
          <w:kern w:val="0"/>
          <w:sz w:val="32"/>
          <w:szCs w:val="32"/>
        </w:rPr>
        <w:t>万元，政府性基金预算拨款安排</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万元），财政专户管理资金安排</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万元。</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十、关于2025年政府采购支出表的说明</w:t>
      </w:r>
    </w:p>
    <w:p>
      <w:pPr>
        <w:ind w:firstLine="640" w:firstLineChars="200"/>
        <w:rPr>
          <w:rFonts w:ascii="TimesNewRoman" w:hAnsi="TimesNewRoman" w:eastAsia="仿宋_GB2312" w:cs="TimesNewRoman"/>
          <w:kern w:val="0"/>
          <w:sz w:val="32"/>
          <w:szCs w:val="32"/>
        </w:rPr>
      </w:pPr>
      <w:r>
        <w:rPr>
          <w:rFonts w:hint="eastAsia" w:ascii="Times New Roman" w:hAnsi="Times New Roman" w:eastAsia="仿宋_GB2312" w:cs="Times New Roman"/>
          <w:kern w:val="0"/>
          <w:sz w:val="32"/>
          <w:szCs w:val="32"/>
        </w:rPr>
        <w:t>淮北市</w:t>
      </w:r>
      <w:r>
        <w:rPr>
          <w:rFonts w:hint="default" w:ascii="Times New Roman" w:hAnsi="Times New Roman" w:eastAsia="仿宋_GB2312" w:cs="Times New Roman"/>
          <w:kern w:val="0"/>
          <w:sz w:val="32"/>
          <w:szCs w:val="32"/>
        </w:rPr>
        <w:t>重点建设项目办公室</w:t>
      </w:r>
      <w:r>
        <w:rPr>
          <w:rFonts w:hint="eastAsia" w:ascii="Times New Roman" w:hAnsi="Times New Roman" w:eastAsia="仿宋_GB2312" w:cs="Times New Roman"/>
          <w:kern w:val="0"/>
          <w:sz w:val="32"/>
          <w:szCs w:val="32"/>
        </w:rPr>
        <w:t>202</w:t>
      </w:r>
      <w:r>
        <w:rPr>
          <w:rFonts w:hint="eastAsia" w:ascii="Times New Roman" w:hAnsi="Times New Roman" w:eastAsia="仿宋_GB2312" w:cs="Times New Roman"/>
          <w:kern w:val="0"/>
          <w:sz w:val="32"/>
          <w:szCs w:val="32"/>
          <w:lang w:val="en-US" w:eastAsia="zh-CN"/>
        </w:rPr>
        <w:t>5</w:t>
      </w:r>
      <w:r>
        <w:rPr>
          <w:rFonts w:hint="eastAsia" w:ascii="Times New Roman" w:hAnsi="Times New Roman" w:eastAsia="仿宋_GB2312" w:cs="Times New Roman"/>
          <w:kern w:val="0"/>
          <w:sz w:val="32"/>
          <w:szCs w:val="32"/>
        </w:rPr>
        <w:t>年没有使用一般公共预算拨款、政府性基金预算拨款、国有资本经营预算拨款、财政专户管理资金和单位资金安排的政府采购支出。</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十一、关于2025年政府购买服务支出表的说明</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kern w:val="0"/>
          <w:sz w:val="32"/>
          <w:szCs w:val="32"/>
        </w:rPr>
        <w:t>2025年没有安排政府购买服务支出。</w:t>
      </w:r>
    </w:p>
    <w:p>
      <w:pPr>
        <w:pStyle w:val="7"/>
        <w:adjustRightInd w:val="0"/>
        <w:snapToGrid w:val="0"/>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十二、关于2025年通用资产配置支出表的说明</w:t>
      </w:r>
    </w:p>
    <w:p>
      <w:pPr>
        <w:pStyle w:val="7"/>
        <w:adjustRightInd w:val="0"/>
        <w:snapToGrid w:val="0"/>
        <w:spacing w:line="560" w:lineRule="exact"/>
        <w:ind w:firstLine="640" w:firstLineChars="200"/>
        <w:outlineLvl w:val="0"/>
        <w:rPr>
          <w:rFonts w:hint="default" w:ascii="Times New Roman" w:hAnsi="Times New Roman" w:cs="Times New Roman"/>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sz w:val="32"/>
          <w:szCs w:val="32"/>
        </w:rPr>
        <w:t>2025年没有安排通用资产配置支出。</w:t>
      </w:r>
    </w:p>
    <w:p>
      <w:pPr>
        <w:pStyle w:val="7"/>
        <w:adjustRightInd w:val="0"/>
        <w:snapToGrid w:val="0"/>
        <w:spacing w:line="560" w:lineRule="exact"/>
        <w:ind w:firstLine="627" w:firstLineChars="196"/>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十</w:t>
      </w:r>
      <w:r>
        <w:rPr>
          <w:rFonts w:hint="default" w:ascii="Times New Roman" w:hAnsi="Times New Roman" w:eastAsia="黑体" w:cs="Times New Roman"/>
          <w:bCs/>
          <w:sz w:val="32"/>
          <w:szCs w:val="32"/>
          <w:lang w:eastAsia="zh-CN"/>
        </w:rPr>
        <w:t>三</w:t>
      </w:r>
      <w:r>
        <w:rPr>
          <w:rFonts w:hint="default" w:ascii="Times New Roman" w:hAnsi="Times New Roman" w:eastAsia="黑体" w:cs="Times New Roman"/>
          <w:bCs/>
          <w:sz w:val="32"/>
          <w:szCs w:val="32"/>
        </w:rPr>
        <w:t>、其他重要事项情况说明</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640" w:firstLineChars="200"/>
        <w:jc w:val="both"/>
        <w:textAlignment w:val="auto"/>
        <w:outlineLvl w:val="9"/>
        <w:rPr>
          <w:rFonts w:hint="default" w:ascii="Times New Roman" w:hAnsi="Times New Roman" w:eastAsia="仿宋_GB2312" w:cs="Times New Roman"/>
          <w:kern w:val="0"/>
          <w:sz w:val="32"/>
          <w:szCs w:val="32"/>
        </w:rPr>
      </w:pPr>
      <w:r>
        <w:rPr>
          <w:rFonts w:hint="default" w:ascii="Times New Roman" w:hAnsi="Times New Roman" w:eastAsia="仿宋_GB2312" w:cs="Times New Roman"/>
          <w:b/>
          <w:sz w:val="32"/>
          <w:szCs w:val="32"/>
        </w:rPr>
        <w:t>（一）项目及绩效目标情况。</w:t>
      </w:r>
    </w:p>
    <w:p>
      <w:pPr>
        <w:keepNext w:val="0"/>
        <w:keepLines w:val="0"/>
        <w:pageBreakBefore w:val="0"/>
        <w:widowControl w:val="0"/>
        <w:kinsoku/>
        <w:wordWrap/>
        <w:overflowPunct/>
        <w:topLinePunct w:val="0"/>
        <w:autoSpaceDE/>
        <w:autoSpaceDN/>
        <w:bidi w:val="0"/>
        <w:spacing w:line="240" w:lineRule="auto"/>
        <w:ind w:left="0" w:leftChars="0" w:right="0" w:rightChars="0" w:firstLine="640" w:firstLineChars="200"/>
        <w:jc w:val="both"/>
        <w:textAlignment w:val="auto"/>
        <w:outlineLvl w:val="9"/>
        <w:rPr>
          <w:rFonts w:hint="default"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lang w:val="en-US" w:eastAsia="zh-CN"/>
        </w:rPr>
        <w:t xml:space="preserve"> </w:t>
      </w:r>
      <w:r>
        <w:rPr>
          <w:rFonts w:hint="default" w:ascii="Times New Roman" w:hAnsi="Times New Roman" w:eastAsia="仿宋_GB2312" w:cs="Times New Roman"/>
          <w:kern w:val="0"/>
          <w:sz w:val="32"/>
          <w:szCs w:val="32"/>
          <w:lang w:val="en-US" w:eastAsia="zh-CN"/>
        </w:rPr>
        <w:t>1</w:t>
      </w:r>
      <w:r>
        <w:rPr>
          <w:rFonts w:hint="default" w:ascii="Times New Roman" w:hAnsi="Times New Roman" w:eastAsia="仿宋_GB2312" w:cs="Times New Roman"/>
          <w:kern w:val="0"/>
          <w:sz w:val="32"/>
          <w:szCs w:val="32"/>
        </w:rPr>
        <w:t>、“</w:t>
      </w:r>
      <w:r>
        <w:rPr>
          <w:rFonts w:hint="default" w:ascii="Times New Roman" w:hAnsi="Times New Roman" w:eastAsia="仿宋_GB2312" w:cs="Times New Roman"/>
          <w:kern w:val="0"/>
          <w:sz w:val="32"/>
          <w:szCs w:val="32"/>
          <w:lang w:eastAsia="zh-CN"/>
        </w:rPr>
        <w:t>重点项目工作经费</w:t>
      </w:r>
      <w:r>
        <w:rPr>
          <w:rFonts w:hint="default" w:ascii="Times New Roman" w:hAnsi="Times New Roman" w:eastAsia="仿宋_GB2312" w:cs="Times New Roman"/>
          <w:kern w:val="0"/>
          <w:sz w:val="32"/>
          <w:szCs w:val="32"/>
        </w:rPr>
        <w:t>”项目。</w:t>
      </w:r>
    </w:p>
    <w:p>
      <w:pPr>
        <w:keepNext w:val="0"/>
        <w:keepLines w:val="0"/>
        <w:pageBreakBefore w:val="0"/>
        <w:widowControl w:val="0"/>
        <w:kinsoku/>
        <w:wordWrap/>
        <w:overflowPunct/>
        <w:topLinePunct w:val="0"/>
        <w:autoSpaceDE/>
        <w:autoSpaceDN/>
        <w:bidi w:val="0"/>
        <w:spacing w:line="240" w:lineRule="auto"/>
        <w:ind w:left="0" w:leftChars="0" w:right="0" w:rightChars="0" w:firstLine="640" w:firstLineChars="200"/>
        <w:jc w:val="both"/>
        <w:textAlignment w:val="auto"/>
        <w:outlineLvl w:val="9"/>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（1）项目概述。编制重点项目建设计划，分析监测重点项目推进实施情况，协调全市重大建设项目有关问题；组织编报铁路建设相关规划，组织协调铁路建设项目的报批和实施工作。</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rPr>
        <w:t>（2）立项依据。</w:t>
      </w:r>
      <w:r>
        <w:rPr>
          <w:rFonts w:hint="default" w:ascii="Times New Roman" w:hAnsi="Times New Roman" w:eastAsia="仿宋_GB2312" w:cs="Times New Roman"/>
          <w:sz w:val="32"/>
          <w:szCs w:val="32"/>
        </w:rPr>
        <w:t>淮编办【2012】11号文件</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（3）实施主体。淮北市</w:t>
      </w:r>
      <w:r>
        <w:rPr>
          <w:rFonts w:hint="default" w:ascii="Times New Roman" w:hAnsi="Times New Roman" w:eastAsia="仿宋_GB2312" w:cs="Times New Roman"/>
          <w:kern w:val="0"/>
          <w:sz w:val="32"/>
          <w:szCs w:val="32"/>
          <w:lang w:val="en-US" w:eastAsia="zh-CN"/>
        </w:rPr>
        <w:t>重点建设项目办公室</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（4）起止时间。</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-12月</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5）项目内容。谋划全市重大项目及可行性论证工作、编制重点项目储备库、组织召开全市重点项目联席会议、调度全市共同谋划项目；拟定全市重点项目投资计划、协调督查重大项目建设；负责组织实施省重点建设项目；组织协调铁路建设项目的报批和实施工作</w:t>
      </w:r>
      <w:r>
        <w:rPr>
          <w:rFonts w:hint="default" w:ascii="Times New Roman" w:hAnsi="Times New Roman" w:eastAsia="仿宋_GB2312" w:cs="Times New Roman"/>
          <w:kern w:val="0"/>
          <w:sz w:val="32"/>
          <w:szCs w:val="32"/>
          <w:lang w:eastAsia="zh-CN"/>
        </w:rPr>
        <w:t>。</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（6）年度预算安排。</w:t>
      </w:r>
      <w:r>
        <w:rPr>
          <w:rFonts w:hint="default" w:ascii="Times New Roman" w:hAnsi="Times New Roman" w:eastAsia="仿宋_GB2312" w:cs="Times New Roman"/>
          <w:kern w:val="0"/>
          <w:sz w:val="32"/>
          <w:szCs w:val="32"/>
          <w:lang w:val="en-US" w:eastAsia="zh-CN"/>
        </w:rPr>
        <w:t>28.48万元</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（7）绩效目标。编制年度重点项目计划，调度重点项目推进情况，保障重点项目顺利实施。</w:t>
      </w:r>
    </w:p>
    <w:tbl>
      <w:tblPr>
        <w:tblStyle w:val="11"/>
        <w:tblW w:w="951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981"/>
        <w:gridCol w:w="1130"/>
        <w:gridCol w:w="979"/>
        <w:gridCol w:w="814"/>
        <w:gridCol w:w="2761"/>
        <w:gridCol w:w="872"/>
        <w:gridCol w:w="19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583" w:hRule="atLeast"/>
        </w:trPr>
        <w:tc>
          <w:tcPr>
            <w:tcW w:w="9514"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40"/>
                <w:szCs w:val="40"/>
                <w:u w:val="none"/>
              </w:rPr>
            </w:pPr>
            <w:r>
              <w:rPr>
                <w:rFonts w:hint="eastAsia" w:ascii="宋体" w:hAnsi="宋体" w:eastAsia="宋体" w:cs="宋体"/>
                <w:i w:val="0"/>
                <w:color w:val="000000"/>
                <w:kern w:val="0"/>
                <w:sz w:val="28"/>
                <w:szCs w:val="28"/>
                <w:u w:val="none"/>
                <w:lang w:val="en-US" w:eastAsia="zh-CN" w:bidi="ar"/>
              </w:rPr>
              <w:t>项目支出绩效目标表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05" w:hRule="atLeast"/>
        </w:trPr>
        <w:tc>
          <w:tcPr>
            <w:tcW w:w="9514"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Style w:val="15"/>
                <w:lang w:val="en-US" w:eastAsia="zh-CN" w:bidi="ar"/>
              </w:rPr>
              <w:t xml:space="preserve"> </w:t>
            </w:r>
            <w:r>
              <w:rPr>
                <w:rStyle w:val="16"/>
                <w:lang w:val="en-US" w:eastAsia="zh-CN" w:bidi="ar"/>
              </w:rPr>
              <w:t xml:space="preserve">（2025年度）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77" w:hRule="atLeast"/>
        </w:trPr>
        <w:tc>
          <w:tcPr>
            <w:tcW w:w="309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项目名称</w:t>
            </w:r>
          </w:p>
        </w:tc>
        <w:tc>
          <w:tcPr>
            <w:tcW w:w="6424" w:type="dxa"/>
            <w:gridSpan w:val="4"/>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重点项目工作经费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92" w:hRule="atLeast"/>
        </w:trPr>
        <w:tc>
          <w:tcPr>
            <w:tcW w:w="309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主管部门及代码</w:t>
            </w:r>
          </w:p>
        </w:tc>
        <w:tc>
          <w:tcPr>
            <w:tcW w:w="3575"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261-淮北市发展和改革委员会</w:t>
            </w:r>
          </w:p>
        </w:tc>
        <w:tc>
          <w:tcPr>
            <w:tcW w:w="8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实施单位</w:t>
            </w:r>
          </w:p>
        </w:tc>
        <w:tc>
          <w:tcPr>
            <w:tcW w:w="1977"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淮北市重点项目建设办公室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77" w:hRule="atLeast"/>
        </w:trPr>
        <w:tc>
          <w:tcPr>
            <w:tcW w:w="309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项目来源</w:t>
            </w:r>
          </w:p>
        </w:tc>
        <w:tc>
          <w:tcPr>
            <w:tcW w:w="3575" w:type="dxa"/>
            <w:gridSpan w:val="2"/>
            <w:tcBorders>
              <w:top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lang w:eastAsia="zh-CN"/>
              </w:rPr>
            </w:pPr>
            <w:r>
              <w:rPr>
                <w:rFonts w:hint="eastAsia" w:ascii="宋体" w:hAnsi="宋体" w:eastAsia="宋体" w:cs="宋体"/>
                <w:i w:val="0"/>
                <w:color w:val="000000"/>
                <w:sz w:val="20"/>
                <w:szCs w:val="20"/>
                <w:u w:val="none"/>
                <w:lang w:eastAsia="zh-CN"/>
              </w:rPr>
              <w:t>财政拨款</w:t>
            </w:r>
          </w:p>
        </w:tc>
        <w:tc>
          <w:tcPr>
            <w:tcW w:w="8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项目期</w:t>
            </w:r>
          </w:p>
        </w:tc>
        <w:tc>
          <w:tcPr>
            <w:tcW w:w="1977"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2025年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77" w:hRule="atLeast"/>
        </w:trPr>
        <w:tc>
          <w:tcPr>
            <w:tcW w:w="309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项目资金（万元）</w:t>
            </w:r>
          </w:p>
        </w:tc>
        <w:tc>
          <w:tcPr>
            <w:tcW w:w="3575"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Style w:val="15"/>
                <w:lang w:val="en-US" w:eastAsia="zh-CN" w:bidi="ar"/>
              </w:rPr>
              <w:t xml:space="preserve"> </w:t>
            </w:r>
            <w:r>
              <w:rPr>
                <w:rStyle w:val="16"/>
                <w:lang w:val="en-US" w:eastAsia="zh-CN" w:bidi="ar"/>
              </w:rPr>
              <w:t>年度资金总额：</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77" w:hRule="atLeast"/>
        </w:trPr>
        <w:tc>
          <w:tcPr>
            <w:tcW w:w="309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3575"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Style w:val="15"/>
                <w:lang w:val="en-US" w:eastAsia="zh-CN" w:bidi="ar"/>
              </w:rPr>
              <w:t xml:space="preserve">   </w:t>
            </w:r>
            <w:r>
              <w:rPr>
                <w:rStyle w:val="16"/>
                <w:lang w:val="en-US" w:eastAsia="zh-CN" w:bidi="ar"/>
              </w:rPr>
              <w:t>其中：财政拨款</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309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3575"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Style w:val="15"/>
                <w:lang w:val="en-US" w:eastAsia="zh-CN" w:bidi="ar"/>
              </w:rPr>
              <w:t xml:space="preserve">         </w:t>
            </w:r>
            <w:r>
              <w:rPr>
                <w:rStyle w:val="16"/>
                <w:lang w:val="en-US" w:eastAsia="zh-CN" w:bidi="ar"/>
              </w:rPr>
              <w:t>上年结转</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77" w:hRule="atLeast"/>
        </w:trPr>
        <w:tc>
          <w:tcPr>
            <w:tcW w:w="309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3575"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Style w:val="15"/>
                <w:lang w:val="en-US" w:eastAsia="zh-CN" w:bidi="ar"/>
              </w:rPr>
              <w:t xml:space="preserve">         </w:t>
            </w:r>
            <w:r>
              <w:rPr>
                <w:rStyle w:val="16"/>
                <w:lang w:val="en-US" w:eastAsia="zh-CN" w:bidi="ar"/>
              </w:rPr>
              <w:t>其他资金</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85" w:hRule="atLeast"/>
        </w:trPr>
        <w:tc>
          <w:tcPr>
            <w:tcW w:w="981"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年度目标</w:t>
            </w:r>
          </w:p>
        </w:tc>
        <w:tc>
          <w:tcPr>
            <w:tcW w:w="8533" w:type="dxa"/>
            <w:gridSpan w:val="6"/>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编制年度重点项目计划，调度重点项目推进情况，保障重点项目顺利实施。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85" w:hRule="atLeast"/>
        </w:trPr>
        <w:tc>
          <w:tcPr>
            <w:tcW w:w="981" w:type="dxa"/>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绩效指标</w:t>
            </w:r>
          </w:p>
        </w:tc>
        <w:tc>
          <w:tcPr>
            <w:tcW w:w="11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一级指标</w:t>
            </w:r>
          </w:p>
        </w:tc>
        <w:tc>
          <w:tcPr>
            <w:tcW w:w="1793"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二级指标</w:t>
            </w:r>
          </w:p>
        </w:tc>
        <w:tc>
          <w:tcPr>
            <w:tcW w:w="2761"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三级指标</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47" w:hRule="atLeast"/>
        </w:trPr>
        <w:tc>
          <w:tcPr>
            <w:tcW w:w="981"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30" w:type="dxa"/>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产出指标</w:t>
            </w:r>
          </w:p>
        </w:tc>
        <w:tc>
          <w:tcPr>
            <w:tcW w:w="17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276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指标1：完成率</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47" w:hRule="atLeast"/>
        </w:trPr>
        <w:tc>
          <w:tcPr>
            <w:tcW w:w="981"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3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276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指标1：达标率</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32" w:hRule="atLeast"/>
        </w:trPr>
        <w:tc>
          <w:tcPr>
            <w:tcW w:w="981"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3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时效指标</w:t>
            </w:r>
          </w:p>
        </w:tc>
        <w:tc>
          <w:tcPr>
            <w:tcW w:w="276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指标1：按时完成</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32" w:hRule="atLeast"/>
        </w:trPr>
        <w:tc>
          <w:tcPr>
            <w:tcW w:w="981"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3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成本指标</w:t>
            </w:r>
          </w:p>
        </w:tc>
        <w:tc>
          <w:tcPr>
            <w:tcW w:w="276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指标1：保证成本稳定性</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稳定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70" w:hRule="atLeast"/>
        </w:trPr>
        <w:tc>
          <w:tcPr>
            <w:tcW w:w="981"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30" w:type="dxa"/>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效益指标</w:t>
            </w:r>
          </w:p>
        </w:tc>
        <w:tc>
          <w:tcPr>
            <w:tcW w:w="17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经济效益指标</w:t>
            </w:r>
          </w:p>
        </w:tc>
        <w:tc>
          <w:tcPr>
            <w:tcW w:w="276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指标1：助推我市经济持续健康发展</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52" w:hRule="atLeast"/>
        </w:trPr>
        <w:tc>
          <w:tcPr>
            <w:tcW w:w="981"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3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社会效益指标</w:t>
            </w:r>
          </w:p>
        </w:tc>
        <w:tc>
          <w:tcPr>
            <w:tcW w:w="276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指标1：加快推进重点项目建设</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90" w:hRule="atLeast"/>
        </w:trPr>
        <w:tc>
          <w:tcPr>
            <w:tcW w:w="981"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3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生态效益指标</w:t>
            </w:r>
          </w:p>
        </w:tc>
        <w:tc>
          <w:tcPr>
            <w:tcW w:w="276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指标1：符合生态环保要求</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90" w:hRule="atLeast"/>
        </w:trPr>
        <w:tc>
          <w:tcPr>
            <w:tcW w:w="981"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3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可持续影响指标</w:t>
            </w:r>
          </w:p>
        </w:tc>
        <w:tc>
          <w:tcPr>
            <w:tcW w:w="276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指标1：加快推进项目谋划</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4" w:hRule="atLeast"/>
        </w:trPr>
        <w:tc>
          <w:tcPr>
            <w:tcW w:w="981"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30"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17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276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指标1：满意率</w:t>
            </w:r>
          </w:p>
        </w:tc>
        <w:tc>
          <w:tcPr>
            <w:tcW w:w="284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r>
    </w:tbl>
    <w:p>
      <w:pPr>
        <w:pStyle w:val="8"/>
        <w:rPr>
          <w:rFonts w:hint="default"/>
        </w:rPr>
      </w:pPr>
    </w:p>
    <w:p>
      <w:pPr>
        <w:ind w:firstLine="640" w:firstLineChars="200"/>
        <w:rPr>
          <w:rFonts w:hint="default"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lang w:val="en-US" w:eastAsia="zh-CN"/>
        </w:rPr>
        <w:t>2</w:t>
      </w:r>
      <w:r>
        <w:rPr>
          <w:rFonts w:hint="default" w:ascii="Times New Roman" w:hAnsi="Times New Roman" w:eastAsia="仿宋_GB2312" w:cs="Times New Roman"/>
          <w:kern w:val="0"/>
          <w:sz w:val="32"/>
          <w:szCs w:val="32"/>
        </w:rPr>
        <w:t>、“</w:t>
      </w:r>
      <w:r>
        <w:rPr>
          <w:rFonts w:hint="default" w:ascii="Times New Roman" w:hAnsi="Times New Roman" w:eastAsia="仿宋_GB2312" w:cs="Times New Roman"/>
          <w:kern w:val="0"/>
          <w:sz w:val="32"/>
          <w:szCs w:val="32"/>
          <w:lang w:eastAsia="zh-CN"/>
        </w:rPr>
        <w:t>淮萧客车联络线运营亏损补贴</w:t>
      </w:r>
      <w:r>
        <w:rPr>
          <w:rFonts w:hint="default" w:ascii="Times New Roman" w:hAnsi="Times New Roman" w:eastAsia="仿宋_GB2312" w:cs="Times New Roman"/>
          <w:kern w:val="0"/>
          <w:sz w:val="32"/>
          <w:szCs w:val="32"/>
        </w:rPr>
        <w:t>”项目。</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（1）项目概述。为使建成后的线路能持续运营，保障我市群众出行，对淮北至萧县北客车联络线运营后亏损进行补贴。</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（2）立项依据。</w:t>
      </w:r>
      <w:r>
        <w:rPr>
          <w:rFonts w:hint="default" w:ascii="Times New Roman" w:hAnsi="Times New Roman" w:eastAsia="仿宋_GB2312" w:cs="Times New Roman"/>
          <w:sz w:val="32"/>
          <w:szCs w:val="32"/>
          <w:lang w:val="en-US" w:eastAsia="zh-CN"/>
        </w:rPr>
        <w:t>根据2020年淮北市人民政府第40次、第46次常务会议纪要，淮政秘[2014]51号及《淮北至萧县客车联络线运营亏损补贴协议》</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（3）实施主体。淮北市</w:t>
      </w:r>
      <w:r>
        <w:rPr>
          <w:rFonts w:hint="default" w:ascii="Times New Roman" w:hAnsi="Times New Roman" w:eastAsia="仿宋_GB2312" w:cs="Times New Roman"/>
          <w:kern w:val="0"/>
          <w:sz w:val="32"/>
          <w:szCs w:val="32"/>
          <w:lang w:val="en-US" w:eastAsia="zh-CN"/>
        </w:rPr>
        <w:t>重点建设项目办公室</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（4）起止时间。</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-12月</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（5）项目内容。</w:t>
      </w:r>
      <w:r>
        <w:rPr>
          <w:rFonts w:hint="default" w:ascii="Times New Roman" w:hAnsi="Times New Roman" w:eastAsia="仿宋_GB2312" w:cs="Times New Roman"/>
          <w:sz w:val="32"/>
          <w:szCs w:val="32"/>
        </w:rPr>
        <w:t>为促进地方经济发展，构建淮北市对外便捷客运通道满足城市转型需要，我市建设淮北至萧县北客车联络线，项目全线长27公里，时速250千米每小时。根据《淮北至萧县北客车联络线运营亏损补贴协议》，我市需对淮北至萧县北客车联络线运营亏损进行货币补贴，按季预支付、按年统一审计结算。</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（6）年度预算安排。</w:t>
      </w:r>
      <w:r>
        <w:rPr>
          <w:rFonts w:hint="default" w:ascii="Times New Roman" w:hAnsi="Times New Roman" w:eastAsia="仿宋_GB2312" w:cs="Times New Roman"/>
          <w:kern w:val="0"/>
          <w:sz w:val="32"/>
          <w:szCs w:val="32"/>
          <w:lang w:val="en-US" w:eastAsia="zh-CN"/>
        </w:rPr>
        <w:t>6500万元</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（7）绩效目标。建成后的线路能持续运营,保障我市群众出行，持续增加淮北对外经济、文化、人员等方面交流，促进淮北外向型经济发展。</w:t>
      </w:r>
    </w:p>
    <w:p>
      <w:pPr>
        <w:pStyle w:val="8"/>
        <w:rPr>
          <w:rFonts w:hint="default"/>
        </w:rPr>
      </w:pPr>
    </w:p>
    <w:tbl>
      <w:tblPr>
        <w:tblStyle w:val="11"/>
        <w:tblW w:w="94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918"/>
        <w:gridCol w:w="1058"/>
        <w:gridCol w:w="915"/>
        <w:gridCol w:w="789"/>
        <w:gridCol w:w="3181"/>
        <w:gridCol w:w="817"/>
        <w:gridCol w:w="172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92" w:hRule="atLeast"/>
        </w:trPr>
        <w:tc>
          <w:tcPr>
            <w:tcW w:w="9400"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40"/>
                <w:szCs w:val="40"/>
                <w:u w:val="none"/>
              </w:rPr>
            </w:pPr>
            <w:r>
              <w:rPr>
                <w:rFonts w:hint="eastAsia" w:ascii="宋体" w:hAnsi="宋体" w:eastAsia="宋体" w:cs="宋体"/>
                <w:i w:val="0"/>
                <w:color w:val="000000"/>
                <w:kern w:val="0"/>
                <w:sz w:val="28"/>
                <w:szCs w:val="28"/>
                <w:u w:val="none"/>
                <w:lang w:val="en-US" w:eastAsia="zh-CN" w:bidi="ar"/>
              </w:rPr>
              <w:t>项目支出绩效目标表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9400"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ascii="font-weight : 400" w:hAnsi="font-weight : 400" w:eastAsia="font-weight : 400" w:cs="font-weight : 400"/>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 xml:space="preserve">（2025年度）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289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项目名称</w:t>
            </w:r>
          </w:p>
        </w:tc>
        <w:tc>
          <w:tcPr>
            <w:tcW w:w="6509" w:type="dxa"/>
            <w:gridSpan w:val="4"/>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淮萧客车联络线运营亏损补贴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289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主管部门及代码</w:t>
            </w:r>
          </w:p>
        </w:tc>
        <w:tc>
          <w:tcPr>
            <w:tcW w:w="3970"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261-淮北市发展和改革委员会</w:t>
            </w:r>
          </w:p>
        </w:tc>
        <w:tc>
          <w:tcPr>
            <w:tcW w:w="817"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实施单位</w:t>
            </w:r>
          </w:p>
        </w:tc>
        <w:tc>
          <w:tcPr>
            <w:tcW w:w="1722"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淮北市重点项目建设办公室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289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项目来源</w:t>
            </w:r>
          </w:p>
        </w:tc>
        <w:tc>
          <w:tcPr>
            <w:tcW w:w="3970" w:type="dxa"/>
            <w:gridSpan w:val="2"/>
            <w:tcBorders>
              <w:top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r>
              <w:rPr>
                <w:rFonts w:hint="eastAsia" w:ascii="宋体" w:hAnsi="宋体" w:eastAsia="宋体" w:cs="宋体"/>
                <w:i w:val="0"/>
                <w:color w:val="000000"/>
                <w:sz w:val="20"/>
                <w:szCs w:val="20"/>
                <w:u w:val="none"/>
                <w:lang w:eastAsia="zh-CN"/>
              </w:rPr>
              <w:t>财政拨款</w:t>
            </w:r>
          </w:p>
        </w:tc>
        <w:tc>
          <w:tcPr>
            <w:tcW w:w="817"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项目期</w:t>
            </w:r>
          </w:p>
        </w:tc>
        <w:tc>
          <w:tcPr>
            <w:tcW w:w="1722"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2025年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2891"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项目资金（万元）</w:t>
            </w:r>
          </w:p>
        </w:tc>
        <w:tc>
          <w:tcPr>
            <w:tcW w:w="3970"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ascii="font-weight : 400" w:hAnsi="font-weight : 400" w:eastAsia="font-weight : 400" w:cs="font-weight : 400"/>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年度资金总额：</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2891"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3970"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ascii="font-weight : 400" w:hAnsi="font-weight : 400" w:eastAsia="font-weight : 400" w:cs="font-weight : 400"/>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其中：财政拨款</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2891"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3970"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ascii="font-weight : 400" w:hAnsi="font-weight : 400" w:eastAsia="font-weight : 400" w:cs="font-weight : 400"/>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上年结转</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2891"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3970"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ascii="font-weight : 400" w:hAnsi="font-weight : 400" w:eastAsia="font-weight : 400" w:cs="font-weight : 400"/>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其他资金</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年度目标</w:t>
            </w:r>
          </w:p>
        </w:tc>
        <w:tc>
          <w:tcPr>
            <w:tcW w:w="8482" w:type="dxa"/>
            <w:gridSpan w:val="6"/>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对淮北至萧县北客车联络线运营后亏损进行补贴，保障我市群众出行。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绩效指标</w:t>
            </w:r>
          </w:p>
        </w:tc>
        <w:tc>
          <w:tcPr>
            <w:tcW w:w="1058"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一级指标</w:t>
            </w:r>
          </w:p>
        </w:tc>
        <w:tc>
          <w:tcPr>
            <w:tcW w:w="1704"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二级指标</w:t>
            </w:r>
          </w:p>
        </w:tc>
        <w:tc>
          <w:tcPr>
            <w:tcW w:w="3181"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三级指标</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58" w:type="dxa"/>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产出指标</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318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指标1：亏损补贴</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5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318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指标1：铁路建设符合国家铁路相关质量标准</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按标准建设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5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时效指标</w:t>
            </w:r>
          </w:p>
        </w:tc>
        <w:tc>
          <w:tcPr>
            <w:tcW w:w="318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指标1：按协议要求时间拨付</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5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成本指标</w:t>
            </w:r>
          </w:p>
        </w:tc>
        <w:tc>
          <w:tcPr>
            <w:tcW w:w="318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指标1：成本管理标准化</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符合标准化要求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58" w:type="dxa"/>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效益指标</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经济效益指标</w:t>
            </w:r>
          </w:p>
        </w:tc>
        <w:tc>
          <w:tcPr>
            <w:tcW w:w="318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指标1：促进淮北外向型经济发展</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促进经济发展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5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社会效益指标</w:t>
            </w:r>
          </w:p>
        </w:tc>
        <w:tc>
          <w:tcPr>
            <w:tcW w:w="318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指标1：为使建成后的线路能持续运营,保障我市群众出行</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5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生态效益指标</w:t>
            </w:r>
          </w:p>
        </w:tc>
        <w:tc>
          <w:tcPr>
            <w:tcW w:w="318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指标1：符合国家生态标准</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符合国家生态标准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5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可持续影响指标</w:t>
            </w:r>
          </w:p>
        </w:tc>
        <w:tc>
          <w:tcPr>
            <w:tcW w:w="318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指标1：持续增加淮北对外经济、文化、人员等方面交流</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增强对外交流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trPr>
        <w:tc>
          <w:tcPr>
            <w:tcW w:w="91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5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318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指标1：满意率</w:t>
            </w:r>
          </w:p>
        </w:tc>
        <w:tc>
          <w:tcPr>
            <w:tcW w:w="2539"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r>
    </w:tbl>
    <w:p>
      <w:pPr>
        <w:pStyle w:val="8"/>
        <w:rPr>
          <w:rFonts w:hint="default"/>
        </w:rPr>
      </w:pPr>
    </w:p>
    <w:p>
      <w:pPr>
        <w:ind w:firstLine="640" w:firstLineChars="200"/>
        <w:rPr>
          <w:rFonts w:hint="default"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lang w:val="en-US" w:eastAsia="zh-CN"/>
        </w:rPr>
        <w:t>3</w:t>
      </w:r>
      <w:r>
        <w:rPr>
          <w:rFonts w:hint="default" w:ascii="Times New Roman" w:hAnsi="Times New Roman" w:eastAsia="仿宋_GB2312" w:cs="Times New Roman"/>
          <w:kern w:val="0"/>
          <w:sz w:val="32"/>
          <w:szCs w:val="32"/>
        </w:rPr>
        <w:t>、“</w:t>
      </w:r>
      <w:r>
        <w:rPr>
          <w:rFonts w:hint="default" w:ascii="Times New Roman" w:hAnsi="Times New Roman" w:eastAsia="仿宋_GB2312" w:cs="Times New Roman"/>
          <w:kern w:val="0"/>
          <w:sz w:val="32"/>
          <w:szCs w:val="32"/>
          <w:lang w:eastAsia="zh-CN"/>
        </w:rPr>
        <w:t>淮北市增开高铁班次的经济补贴</w:t>
      </w:r>
      <w:r>
        <w:rPr>
          <w:rFonts w:hint="default" w:ascii="Times New Roman" w:hAnsi="Times New Roman" w:eastAsia="仿宋_GB2312" w:cs="Times New Roman"/>
          <w:kern w:val="0"/>
          <w:sz w:val="32"/>
          <w:szCs w:val="32"/>
        </w:rPr>
        <w:t>”项目。</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（1）项目概述。为使建成后的线路能持续运营，对淮北站增开淮北至北京、上海、合肥等高铁列车进行经济补贴。</w:t>
      </w:r>
    </w:p>
    <w:p>
      <w:pPr>
        <w:pStyle w:val="14"/>
        <w:keepNext w:val="0"/>
        <w:keepLines w:val="0"/>
        <w:pageBreakBefore w:val="0"/>
        <w:kinsoku/>
        <w:wordWrap/>
        <w:overflowPunct/>
        <w:topLinePunct w:val="0"/>
        <w:autoSpaceDE/>
        <w:autoSpaceDN/>
        <w:bidi w:val="0"/>
        <w:adjustRightInd w:val="0"/>
        <w:spacing w:line="240" w:lineRule="auto"/>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kern w:val="0"/>
          <w:sz w:val="32"/>
          <w:szCs w:val="32"/>
        </w:rPr>
        <w:t>（2）立项依据。</w:t>
      </w:r>
      <w:r>
        <w:rPr>
          <w:rFonts w:hint="default" w:ascii="Times New Roman" w:hAnsi="Times New Roman" w:eastAsia="仿宋_GB2312" w:cs="Times New Roman"/>
          <w:color w:val="000000"/>
          <w:sz w:val="32"/>
          <w:szCs w:val="32"/>
          <w:lang w:eastAsia="zh-CN"/>
        </w:rPr>
        <w:t>根据</w:t>
      </w:r>
      <w:r>
        <w:rPr>
          <w:rFonts w:hint="default" w:ascii="Times New Roman" w:hAnsi="Times New Roman" w:eastAsia="仿宋_GB2312" w:cs="Times New Roman"/>
          <w:color w:val="000000"/>
          <w:sz w:val="32"/>
          <w:szCs w:val="32"/>
        </w:rPr>
        <w:t>2020年淮北市人民政府第40次</w:t>
      </w:r>
      <w:r>
        <w:rPr>
          <w:rFonts w:hint="default" w:ascii="Times New Roman" w:hAnsi="Times New Roman" w:eastAsia="仿宋_GB2312" w:cs="Times New Roman"/>
          <w:color w:val="000000"/>
          <w:sz w:val="32"/>
          <w:szCs w:val="32"/>
          <w:lang w:eastAsia="zh-CN"/>
        </w:rPr>
        <w:t>、第</w:t>
      </w:r>
      <w:r>
        <w:rPr>
          <w:rFonts w:hint="default" w:ascii="Times New Roman" w:hAnsi="Times New Roman" w:eastAsia="仿宋_GB2312" w:cs="Times New Roman"/>
          <w:color w:val="000000"/>
          <w:sz w:val="32"/>
          <w:szCs w:val="32"/>
          <w:lang w:val="en-US" w:eastAsia="zh-CN"/>
        </w:rPr>
        <w:t>46次</w:t>
      </w:r>
      <w:r>
        <w:rPr>
          <w:rFonts w:hint="default" w:ascii="Times New Roman" w:hAnsi="Times New Roman" w:eastAsia="仿宋_GB2312" w:cs="Times New Roman"/>
          <w:color w:val="000000"/>
          <w:sz w:val="32"/>
          <w:szCs w:val="32"/>
        </w:rPr>
        <w:t>常务会议纪要</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sz w:val="32"/>
          <w:szCs w:val="32"/>
        </w:rPr>
        <w:t>淮政秘[2014</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51号</w:t>
      </w:r>
      <w:r>
        <w:rPr>
          <w:rFonts w:hint="default" w:ascii="Times New Roman" w:hAnsi="Times New Roman" w:eastAsia="仿宋_GB2312" w:cs="Times New Roman"/>
          <w:sz w:val="32"/>
          <w:szCs w:val="32"/>
          <w:lang w:eastAsia="zh-CN"/>
        </w:rPr>
        <w:t>。</w:t>
      </w:r>
    </w:p>
    <w:p>
      <w:pPr>
        <w:ind w:firstLine="640" w:firstLineChars="200"/>
        <w:rPr>
          <w:rFonts w:hint="default" w:ascii="Times New Roman" w:hAnsi="Times New Roman" w:eastAsia="仿宋_GB2312" w:cs="Times New Roman"/>
          <w:kern w:val="0"/>
          <w:sz w:val="32"/>
          <w:szCs w:val="32"/>
          <w:lang w:val="en-US" w:eastAsia="zh-CN"/>
        </w:rPr>
      </w:pPr>
      <w:r>
        <w:rPr>
          <w:rFonts w:hint="default" w:ascii="Times New Roman" w:hAnsi="Times New Roman" w:eastAsia="仿宋_GB2312" w:cs="Times New Roman"/>
          <w:kern w:val="0"/>
          <w:sz w:val="32"/>
          <w:szCs w:val="32"/>
        </w:rPr>
        <w:t>（3）实施主体。淮北市</w:t>
      </w:r>
      <w:r>
        <w:rPr>
          <w:rFonts w:hint="default" w:ascii="Times New Roman" w:hAnsi="Times New Roman" w:eastAsia="仿宋_GB2312" w:cs="Times New Roman"/>
          <w:kern w:val="0"/>
          <w:sz w:val="32"/>
          <w:szCs w:val="32"/>
          <w:lang w:val="en-US" w:eastAsia="zh-CN"/>
        </w:rPr>
        <w:t>重点建设项目办公室</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（4）起止时间。</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-12月</w:t>
      </w:r>
    </w:p>
    <w:p>
      <w:pPr>
        <w:keepNext w:val="0"/>
        <w:keepLines w:val="0"/>
        <w:pageBreakBefore w:val="0"/>
        <w:kinsoku/>
        <w:wordWrap/>
        <w:overflowPunct/>
        <w:topLinePunct w:val="0"/>
        <w:autoSpaceDE/>
        <w:autoSpaceDN/>
        <w:bidi w:val="0"/>
        <w:spacing w:line="240"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rPr>
        <w:t>（5）项目内容。</w:t>
      </w:r>
      <w:r>
        <w:rPr>
          <w:rFonts w:hint="default" w:ascii="Times New Roman" w:hAnsi="Times New Roman" w:eastAsia="仿宋_GB2312" w:cs="Times New Roman"/>
          <w:sz w:val="32"/>
          <w:szCs w:val="32"/>
        </w:rPr>
        <w:t>为满足人民出行需要，增开至合肥、上海方向高铁班次，因现有高铁班次无法满足人民出行需求，增开至上海、合肥方向高铁班次，可满足我市与长三角发达地区经济文化交流。</w:t>
      </w:r>
    </w:p>
    <w:p>
      <w:pPr>
        <w:ind w:firstLine="640" w:firstLineChars="200"/>
        <w:rPr>
          <w:rFonts w:hint="default" w:ascii="Times New Roman" w:hAnsi="Times New Roman" w:eastAsia="仿宋_GB2312" w:cs="Times New Roman"/>
          <w:kern w:val="0"/>
          <w:sz w:val="32"/>
          <w:szCs w:val="32"/>
          <w:lang w:val="en-US" w:eastAsia="zh-CN"/>
        </w:rPr>
      </w:pPr>
      <w:r>
        <w:rPr>
          <w:rFonts w:hint="default" w:ascii="Times New Roman" w:hAnsi="Times New Roman" w:eastAsia="仿宋_GB2312" w:cs="Times New Roman"/>
          <w:kern w:val="0"/>
          <w:sz w:val="32"/>
          <w:szCs w:val="32"/>
        </w:rPr>
        <w:t>（6）年度预算安排。</w:t>
      </w:r>
      <w:r>
        <w:rPr>
          <w:rFonts w:hint="default" w:ascii="Times New Roman" w:hAnsi="Times New Roman" w:eastAsia="仿宋_GB2312" w:cs="Times New Roman"/>
          <w:kern w:val="0"/>
          <w:sz w:val="32"/>
          <w:szCs w:val="32"/>
          <w:lang w:val="en-US" w:eastAsia="zh-CN"/>
        </w:rPr>
        <w:t>1700万元</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（7）绩效目标。保障我市群众出行，持续增加淮北对外经济、文化、人员等方面交流，促进淮北外向型经济发展。</w:t>
      </w:r>
    </w:p>
    <w:tbl>
      <w:tblPr>
        <w:tblStyle w:val="11"/>
        <w:tblW w:w="923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880"/>
        <w:gridCol w:w="988"/>
        <w:gridCol w:w="872"/>
        <w:gridCol w:w="1430"/>
        <w:gridCol w:w="2472"/>
        <w:gridCol w:w="1073"/>
        <w:gridCol w:w="151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523" w:hRule="atLeast"/>
        </w:trPr>
        <w:tc>
          <w:tcPr>
            <w:tcW w:w="9234"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40"/>
                <w:szCs w:val="40"/>
                <w:u w:val="none"/>
              </w:rPr>
            </w:pPr>
            <w:r>
              <w:rPr>
                <w:rFonts w:hint="eastAsia" w:ascii="宋体" w:hAnsi="宋体" w:eastAsia="宋体" w:cs="宋体"/>
                <w:i w:val="0"/>
                <w:color w:val="000000"/>
                <w:kern w:val="0"/>
                <w:sz w:val="28"/>
                <w:szCs w:val="28"/>
                <w:u w:val="none"/>
                <w:lang w:val="en-US" w:eastAsia="zh-CN" w:bidi="ar"/>
              </w:rPr>
              <w:t>项目支出绩效目标表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74" w:hRule="atLeast"/>
        </w:trPr>
        <w:tc>
          <w:tcPr>
            <w:tcW w:w="9234"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ascii="font-weight : 400" w:hAnsi="font-weight : 400" w:eastAsia="font-weight : 400" w:cs="font-weight : 400"/>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 xml:space="preserve">（2025年度）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28" w:hRule="atLeast"/>
        </w:trPr>
        <w:tc>
          <w:tcPr>
            <w:tcW w:w="274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项目名称</w:t>
            </w:r>
          </w:p>
        </w:tc>
        <w:tc>
          <w:tcPr>
            <w:tcW w:w="6494" w:type="dxa"/>
            <w:gridSpan w:val="4"/>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淮北市增开高铁班次的经济补贴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31" w:hRule="atLeast"/>
        </w:trPr>
        <w:tc>
          <w:tcPr>
            <w:tcW w:w="274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主管部门及代码</w:t>
            </w:r>
          </w:p>
        </w:tc>
        <w:tc>
          <w:tcPr>
            <w:tcW w:w="390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261-淮北市发展和改革委员会</w:t>
            </w:r>
          </w:p>
        </w:tc>
        <w:tc>
          <w:tcPr>
            <w:tcW w:w="1073"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实施单位</w:t>
            </w:r>
          </w:p>
        </w:tc>
        <w:tc>
          <w:tcPr>
            <w:tcW w:w="1519"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淮北市重点项目建设办公室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28" w:hRule="atLeast"/>
        </w:trPr>
        <w:tc>
          <w:tcPr>
            <w:tcW w:w="274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项目来源</w:t>
            </w:r>
          </w:p>
        </w:tc>
        <w:tc>
          <w:tcPr>
            <w:tcW w:w="3902" w:type="dxa"/>
            <w:gridSpan w:val="2"/>
            <w:tcBorders>
              <w:top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r>
              <w:rPr>
                <w:rFonts w:hint="eastAsia" w:ascii="宋体" w:hAnsi="宋体" w:eastAsia="宋体" w:cs="宋体"/>
                <w:i w:val="0"/>
                <w:color w:val="000000"/>
                <w:sz w:val="20"/>
                <w:szCs w:val="20"/>
                <w:u w:val="none"/>
                <w:lang w:eastAsia="zh-CN"/>
              </w:rPr>
              <w:t>财政拨款</w:t>
            </w:r>
          </w:p>
        </w:tc>
        <w:tc>
          <w:tcPr>
            <w:tcW w:w="1073"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项目期</w:t>
            </w:r>
          </w:p>
        </w:tc>
        <w:tc>
          <w:tcPr>
            <w:tcW w:w="1519"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2025年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28" w:hRule="atLeast"/>
        </w:trPr>
        <w:tc>
          <w:tcPr>
            <w:tcW w:w="274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项目资金（万元）</w:t>
            </w:r>
          </w:p>
        </w:tc>
        <w:tc>
          <w:tcPr>
            <w:tcW w:w="390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年度资金总额：</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28" w:hRule="atLeast"/>
        </w:trPr>
        <w:tc>
          <w:tcPr>
            <w:tcW w:w="274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390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28" w:hRule="atLeast"/>
        </w:trPr>
        <w:tc>
          <w:tcPr>
            <w:tcW w:w="274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390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上年结转</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28" w:hRule="atLeast"/>
        </w:trPr>
        <w:tc>
          <w:tcPr>
            <w:tcW w:w="274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390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6" w:hRule="atLeast"/>
        </w:trPr>
        <w:tc>
          <w:tcPr>
            <w:tcW w:w="880"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年度目标</w:t>
            </w:r>
          </w:p>
        </w:tc>
        <w:tc>
          <w:tcPr>
            <w:tcW w:w="8354" w:type="dxa"/>
            <w:gridSpan w:val="6"/>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为使建成后的线路能持续运营，2025年对淮北站增开淮北至北京、上海、合肥等地的高铁列车进行1700万元经济补贴。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6" w:hRule="atLeast"/>
        </w:trPr>
        <w:tc>
          <w:tcPr>
            <w:tcW w:w="880" w:type="dxa"/>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绩效指标</w:t>
            </w:r>
          </w:p>
        </w:tc>
        <w:tc>
          <w:tcPr>
            <w:tcW w:w="988"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一级指标</w:t>
            </w:r>
          </w:p>
        </w:tc>
        <w:tc>
          <w:tcPr>
            <w:tcW w:w="230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二级指标</w:t>
            </w:r>
          </w:p>
        </w:tc>
        <w:tc>
          <w:tcPr>
            <w:tcW w:w="2472"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三级指标</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6" w:hRule="atLeast"/>
        </w:trPr>
        <w:tc>
          <w:tcPr>
            <w:tcW w:w="88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88" w:type="dxa"/>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产出指标</w:t>
            </w:r>
          </w:p>
        </w:tc>
        <w:tc>
          <w:tcPr>
            <w:tcW w:w="23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24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指标1：亏损补贴</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6" w:hRule="atLeast"/>
        </w:trPr>
        <w:tc>
          <w:tcPr>
            <w:tcW w:w="88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8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3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24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指标1：开行动车符合相关要求</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按标准开行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6" w:hRule="atLeast"/>
        </w:trPr>
        <w:tc>
          <w:tcPr>
            <w:tcW w:w="88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8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3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时效指标</w:t>
            </w:r>
          </w:p>
        </w:tc>
        <w:tc>
          <w:tcPr>
            <w:tcW w:w="24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指标1：按照协议要求按年度支付</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6" w:hRule="atLeast"/>
        </w:trPr>
        <w:tc>
          <w:tcPr>
            <w:tcW w:w="88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8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3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成本指标</w:t>
            </w:r>
          </w:p>
        </w:tc>
        <w:tc>
          <w:tcPr>
            <w:tcW w:w="24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指标1：成本管理标准化</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符合标准化要求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6" w:hRule="atLeast"/>
        </w:trPr>
        <w:tc>
          <w:tcPr>
            <w:tcW w:w="88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88" w:type="dxa"/>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效益指标</w:t>
            </w:r>
          </w:p>
        </w:tc>
        <w:tc>
          <w:tcPr>
            <w:tcW w:w="23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经济效益指标</w:t>
            </w:r>
          </w:p>
        </w:tc>
        <w:tc>
          <w:tcPr>
            <w:tcW w:w="24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指标1：促进淮北外向型经济发展</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促进经济发展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6" w:hRule="atLeast"/>
        </w:trPr>
        <w:tc>
          <w:tcPr>
            <w:tcW w:w="88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8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3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社会效益指标</w:t>
            </w:r>
          </w:p>
        </w:tc>
        <w:tc>
          <w:tcPr>
            <w:tcW w:w="24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指标1：方便市民乘坐高铁、增强我市与其他地区交流</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方便地区交流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6" w:hRule="atLeast"/>
        </w:trPr>
        <w:tc>
          <w:tcPr>
            <w:tcW w:w="88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8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3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生态效益指标</w:t>
            </w:r>
          </w:p>
        </w:tc>
        <w:tc>
          <w:tcPr>
            <w:tcW w:w="24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指标1：符合国家生态标准</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符合生态标准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6" w:hRule="atLeast"/>
        </w:trPr>
        <w:tc>
          <w:tcPr>
            <w:tcW w:w="88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88"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3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可持续影响指标</w:t>
            </w:r>
          </w:p>
        </w:tc>
        <w:tc>
          <w:tcPr>
            <w:tcW w:w="24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指标1：持续增加淮北对外经济、文化、人员等方面交流</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增强对外交流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64" w:hRule="atLeast"/>
        </w:trPr>
        <w:tc>
          <w:tcPr>
            <w:tcW w:w="88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8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23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2472"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指标1：满意率</w:t>
            </w:r>
          </w:p>
        </w:tc>
        <w:tc>
          <w:tcPr>
            <w:tcW w:w="2592" w:type="dxa"/>
            <w:gridSpan w:val="2"/>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r>
    </w:tbl>
    <w:p>
      <w:pPr>
        <w:ind w:firstLine="640" w:firstLineChars="200"/>
        <w:jc w:val="center"/>
        <w:rPr>
          <w:rFonts w:hint="default" w:ascii="Times New Roman" w:hAnsi="Times New Roman" w:eastAsia="仿宋_GB2312" w:cs="Times New Roman"/>
          <w:b w:val="0"/>
          <w:bCs w:val="0"/>
          <w:kern w:val="0"/>
          <w:sz w:val="13"/>
          <w:szCs w:val="13"/>
          <w:lang w:val="en-US" w:eastAsia="zh-CN"/>
        </w:rPr>
      </w:pPr>
    </w:p>
    <w:p>
      <w:pPr>
        <w:adjustRightInd w:val="0"/>
        <w:snapToGrid w:val="0"/>
        <w:spacing w:line="580" w:lineRule="exact"/>
        <w:ind w:firstLine="643" w:firstLineChars="200"/>
        <w:rPr>
          <w:rFonts w:hint="eastAsia" w:ascii="Times New Roman" w:hAnsi="Times New Roman" w:eastAsia="仿宋_GB2312" w:cs="Times New Roman"/>
          <w:b/>
          <w:sz w:val="21"/>
          <w:szCs w:val="21"/>
          <w:lang w:val="en-US" w:eastAsia="zh-CN"/>
        </w:rPr>
      </w:pPr>
      <w:r>
        <w:rPr>
          <w:rFonts w:hint="eastAsia" w:ascii="Times New Roman" w:hAnsi="Times New Roman" w:eastAsia="仿宋_GB2312" w:cs="Times New Roman"/>
          <w:b/>
          <w:sz w:val="21"/>
          <w:szCs w:val="21"/>
          <w:lang w:val="en-US" w:eastAsia="zh-CN"/>
        </w:rPr>
        <w:t xml:space="preserve"> </w:t>
      </w:r>
    </w:p>
    <w:p>
      <w:pPr>
        <w:ind w:firstLine="640" w:firstLineChars="200"/>
        <w:rPr>
          <w:rFonts w:hint="default" w:ascii="Times New Roman" w:hAnsi="Times New Roman" w:eastAsia="仿宋_GB2312" w:cs="Times New Roman"/>
          <w:b/>
          <w:bCs/>
          <w:kern w:val="0"/>
          <w:sz w:val="32"/>
          <w:szCs w:val="32"/>
        </w:rPr>
      </w:pPr>
      <w:r>
        <w:rPr>
          <w:rFonts w:hint="default" w:ascii="Times New Roman" w:hAnsi="Times New Roman" w:eastAsia="仿宋_GB2312" w:cs="Times New Roman"/>
          <w:b/>
          <w:bCs/>
          <w:kern w:val="0"/>
          <w:sz w:val="32"/>
          <w:szCs w:val="32"/>
        </w:rPr>
        <w:t>（二）机关运行经费。</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lang w:val="en-US" w:eastAsia="zh-CN"/>
        </w:rPr>
        <w:t xml:space="preserve"> </w:t>
      </w: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kern w:val="0"/>
          <w:sz w:val="32"/>
          <w:szCs w:val="32"/>
        </w:rPr>
        <w:t>2025年机关运行经费财政拨款预算</w:t>
      </w:r>
      <w:r>
        <w:rPr>
          <w:rFonts w:hint="eastAsia" w:ascii="Times New Roman" w:hAnsi="Times New Roman" w:eastAsia="仿宋_GB2312" w:cs="Times New Roman"/>
          <w:kern w:val="0"/>
          <w:sz w:val="32"/>
          <w:szCs w:val="32"/>
          <w:lang w:val="en-US" w:eastAsia="zh-CN"/>
        </w:rPr>
        <w:t>41.10</w:t>
      </w:r>
      <w:r>
        <w:rPr>
          <w:rFonts w:hint="default" w:ascii="Times New Roman" w:hAnsi="Times New Roman" w:eastAsia="仿宋_GB2312" w:cs="Times New Roman"/>
          <w:kern w:val="0"/>
          <w:sz w:val="32"/>
          <w:szCs w:val="32"/>
        </w:rPr>
        <w:t>万元，比2024年预算增加</w:t>
      </w:r>
      <w:r>
        <w:rPr>
          <w:rFonts w:hint="eastAsia"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万元，增长</w:t>
      </w:r>
      <w:r>
        <w:rPr>
          <w:rFonts w:hint="eastAsia"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%，原因主要是</w:t>
      </w:r>
      <w:r>
        <w:rPr>
          <w:rFonts w:hint="eastAsia" w:ascii="Times New Roman" w:hAnsi="Times New Roman" w:eastAsia="仿宋_GB2312" w:cs="Times New Roman"/>
          <w:kern w:val="0"/>
          <w:sz w:val="32"/>
          <w:szCs w:val="32"/>
          <w:lang w:eastAsia="zh-CN"/>
        </w:rPr>
        <w:t>预算无变化</w:t>
      </w:r>
      <w:r>
        <w:rPr>
          <w:rFonts w:hint="default" w:ascii="Times New Roman" w:hAnsi="Times New Roman" w:eastAsia="仿宋_GB2312" w:cs="Times New Roman"/>
          <w:kern w:val="0"/>
          <w:sz w:val="32"/>
          <w:szCs w:val="32"/>
        </w:rPr>
        <w:t>。</w:t>
      </w:r>
    </w:p>
    <w:p>
      <w:pPr>
        <w:ind w:firstLine="640" w:firstLineChars="200"/>
        <w:rPr>
          <w:rFonts w:hint="default" w:ascii="Times New Roman" w:hAnsi="Times New Roman" w:eastAsia="仿宋_GB2312" w:cs="Times New Roman"/>
          <w:b/>
          <w:bCs/>
          <w:kern w:val="0"/>
          <w:sz w:val="32"/>
          <w:szCs w:val="32"/>
        </w:rPr>
      </w:pPr>
      <w:r>
        <w:rPr>
          <w:rFonts w:hint="default" w:ascii="Times New Roman" w:hAnsi="Times New Roman" w:eastAsia="仿宋_GB2312" w:cs="Times New Roman"/>
          <w:b/>
          <w:bCs/>
          <w:kern w:val="0"/>
          <w:sz w:val="32"/>
          <w:szCs w:val="32"/>
        </w:rPr>
        <w:t>（三）政府采购情况。</w:t>
      </w:r>
    </w:p>
    <w:p>
      <w:pPr>
        <w:ind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 w:val="0"/>
          <w:bCs w:val="0"/>
          <w:kern w:val="0"/>
          <w:sz w:val="32"/>
          <w:szCs w:val="32"/>
        </w:rPr>
        <w:t>2025年政府采购预算</w:t>
      </w:r>
      <w:r>
        <w:rPr>
          <w:rFonts w:hint="eastAsia" w:ascii="Times New Roman" w:hAnsi="Times New Roman" w:eastAsia="仿宋_GB2312" w:cs="Times New Roman"/>
          <w:b w:val="0"/>
          <w:bCs w:val="0"/>
          <w:kern w:val="0"/>
          <w:sz w:val="32"/>
          <w:szCs w:val="32"/>
          <w:lang w:val="en-US" w:eastAsia="zh-CN"/>
        </w:rPr>
        <w:t>0</w:t>
      </w:r>
      <w:r>
        <w:rPr>
          <w:rFonts w:hint="default" w:ascii="Times New Roman" w:hAnsi="Times New Roman" w:eastAsia="仿宋_GB2312" w:cs="Times New Roman"/>
          <w:b w:val="0"/>
          <w:bCs w:val="0"/>
          <w:kern w:val="0"/>
          <w:sz w:val="32"/>
          <w:szCs w:val="32"/>
        </w:rPr>
        <w:t>万元。其中：政府采购货物预算</w:t>
      </w:r>
      <w:r>
        <w:rPr>
          <w:rFonts w:hint="eastAsia" w:ascii="Times New Roman" w:hAnsi="Times New Roman" w:eastAsia="仿宋_GB2312" w:cs="Times New Roman"/>
          <w:b w:val="0"/>
          <w:bCs w:val="0"/>
          <w:kern w:val="0"/>
          <w:sz w:val="32"/>
          <w:szCs w:val="32"/>
          <w:lang w:val="en-US" w:eastAsia="zh-CN"/>
        </w:rPr>
        <w:t>0</w:t>
      </w:r>
      <w:r>
        <w:rPr>
          <w:rFonts w:hint="default" w:ascii="Times New Roman" w:hAnsi="Times New Roman" w:eastAsia="仿宋_GB2312" w:cs="Times New Roman"/>
          <w:b w:val="0"/>
          <w:bCs w:val="0"/>
          <w:kern w:val="0"/>
          <w:sz w:val="32"/>
          <w:szCs w:val="32"/>
        </w:rPr>
        <w:t>万元，政府采购工程预算</w:t>
      </w:r>
      <w:r>
        <w:rPr>
          <w:rFonts w:hint="default" w:ascii="Times New Roman" w:hAnsi="Times New Roman" w:eastAsia="仿宋_GB2312" w:cs="Times New Roman"/>
          <w:b w:val="0"/>
          <w:bCs w:val="0"/>
          <w:kern w:val="0"/>
          <w:sz w:val="32"/>
          <w:szCs w:val="32"/>
          <w:lang w:val="en-US" w:eastAsia="zh-CN"/>
        </w:rPr>
        <w:t>0</w:t>
      </w:r>
      <w:r>
        <w:rPr>
          <w:rFonts w:hint="default" w:ascii="Times New Roman" w:hAnsi="Times New Roman" w:eastAsia="仿宋_GB2312" w:cs="Times New Roman"/>
          <w:b w:val="0"/>
          <w:bCs w:val="0"/>
          <w:kern w:val="0"/>
          <w:sz w:val="32"/>
          <w:szCs w:val="32"/>
        </w:rPr>
        <w:t>万元，政府采购服务预算</w:t>
      </w:r>
      <w:r>
        <w:rPr>
          <w:rFonts w:hint="eastAsia" w:ascii="Times New Roman" w:hAnsi="Times New Roman" w:eastAsia="仿宋_GB2312" w:cs="Times New Roman"/>
          <w:b w:val="0"/>
          <w:bCs w:val="0"/>
          <w:kern w:val="0"/>
          <w:sz w:val="32"/>
          <w:szCs w:val="32"/>
          <w:lang w:val="en-US" w:eastAsia="zh-CN"/>
        </w:rPr>
        <w:t>0</w:t>
      </w:r>
      <w:r>
        <w:rPr>
          <w:rFonts w:hint="default" w:ascii="Times New Roman" w:hAnsi="Times New Roman" w:eastAsia="仿宋_GB2312" w:cs="Times New Roman"/>
          <w:b w:val="0"/>
          <w:bCs w:val="0"/>
          <w:kern w:val="0"/>
          <w:sz w:val="32"/>
          <w:szCs w:val="32"/>
        </w:rPr>
        <w:t>万元。</w:t>
      </w:r>
    </w:p>
    <w:p>
      <w:pPr>
        <w:ind w:firstLine="640" w:firstLineChars="200"/>
        <w:rPr>
          <w:rFonts w:hint="default" w:ascii="Times New Roman" w:hAnsi="Times New Roman" w:eastAsia="仿宋_GB2312" w:cs="Times New Roman"/>
          <w:b/>
          <w:bCs/>
          <w:kern w:val="0"/>
          <w:sz w:val="32"/>
          <w:szCs w:val="32"/>
        </w:rPr>
      </w:pPr>
      <w:r>
        <w:rPr>
          <w:rFonts w:hint="default" w:ascii="Times New Roman" w:hAnsi="Times New Roman" w:eastAsia="仿宋_GB2312" w:cs="Times New Roman"/>
          <w:b/>
          <w:bCs/>
          <w:kern w:val="0"/>
          <w:sz w:val="32"/>
          <w:szCs w:val="32"/>
        </w:rPr>
        <w:t>（四）国有资产占有使用情况。</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b w:val="0"/>
          <w:bCs w:val="0"/>
          <w:kern w:val="0"/>
          <w:sz w:val="32"/>
          <w:szCs w:val="32"/>
        </w:rPr>
        <w:t>截至2024年12月31日，</w:t>
      </w: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default" w:ascii="Times New Roman" w:hAnsi="Times New Roman" w:eastAsia="仿宋_GB2312" w:cs="Times New Roman"/>
          <w:b w:val="0"/>
          <w:bCs w:val="0"/>
          <w:kern w:val="0"/>
          <w:sz w:val="32"/>
          <w:szCs w:val="32"/>
        </w:rPr>
        <w:t>共有车辆</w:t>
      </w:r>
      <w:r>
        <w:rPr>
          <w:rFonts w:hint="eastAsia" w:ascii="Times New Roman" w:hAnsi="Times New Roman" w:eastAsia="仿宋_GB2312" w:cs="Times New Roman"/>
          <w:b w:val="0"/>
          <w:bCs w:val="0"/>
          <w:kern w:val="0"/>
          <w:sz w:val="32"/>
          <w:szCs w:val="32"/>
          <w:lang w:val="en-US" w:eastAsia="zh-CN"/>
        </w:rPr>
        <w:t>0</w:t>
      </w:r>
      <w:r>
        <w:rPr>
          <w:rFonts w:hint="default" w:ascii="Times New Roman" w:hAnsi="Times New Roman" w:eastAsia="仿宋_GB2312" w:cs="Times New Roman"/>
          <w:b w:val="0"/>
          <w:bCs w:val="0"/>
          <w:kern w:val="0"/>
          <w:sz w:val="32"/>
          <w:szCs w:val="32"/>
        </w:rPr>
        <w:t>辆</w:t>
      </w:r>
      <w:r>
        <w:rPr>
          <w:rFonts w:hint="default" w:ascii="Times New Roman" w:hAnsi="Times New Roman" w:eastAsia="仿宋_GB2312" w:cs="Times New Roman"/>
          <w:kern w:val="0"/>
          <w:sz w:val="32"/>
          <w:szCs w:val="32"/>
        </w:rPr>
        <w:t>。单价50万元以上的通用设备</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台（套），单价100万元以上的专用设备</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台（套）。</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2025年部门预算安排购置公务用车</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辆，购置费</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万元；安排购置单价50万元以上的通用设备</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台（套），购置费</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万元；安排购置单价100万元以上专用设备</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台（套），购置费</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kern w:val="0"/>
          <w:sz w:val="32"/>
          <w:szCs w:val="32"/>
        </w:rPr>
        <w:t>万元。</w:t>
      </w:r>
    </w:p>
    <w:p>
      <w:pPr>
        <w:ind w:firstLine="640" w:firstLineChars="200"/>
        <w:rPr>
          <w:rFonts w:hint="default" w:ascii="Times New Roman" w:hAnsi="Times New Roman" w:eastAsia="仿宋_GB2312" w:cs="Times New Roman"/>
          <w:b/>
          <w:bCs/>
          <w:kern w:val="0"/>
          <w:sz w:val="32"/>
          <w:szCs w:val="32"/>
        </w:rPr>
      </w:pPr>
      <w:r>
        <w:rPr>
          <w:rFonts w:hint="default" w:ascii="Times New Roman" w:hAnsi="Times New Roman" w:eastAsia="仿宋_GB2312" w:cs="Times New Roman"/>
          <w:b/>
          <w:bCs/>
          <w:kern w:val="0"/>
          <w:sz w:val="32"/>
          <w:szCs w:val="32"/>
        </w:rPr>
        <w:t>（五）绩效目标设置情况。</w:t>
      </w:r>
    </w:p>
    <w:p>
      <w:pPr>
        <w:ind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2025年，</w:t>
      </w:r>
      <w:r>
        <w:rPr>
          <w:rFonts w:hint="default" w:ascii="Times New Roman" w:hAnsi="Times New Roman" w:eastAsia="仿宋_GB2312" w:cs="Times New Roman"/>
          <w:bCs/>
          <w:sz w:val="32"/>
          <w:szCs w:val="32"/>
        </w:rPr>
        <w:t>淮北市</w:t>
      </w:r>
      <w:r>
        <w:rPr>
          <w:rFonts w:ascii="TimesNewRoman" w:hAnsi="TimesNewRoman" w:eastAsia="仿宋_GB2312" w:cs="TimesNewRoman"/>
          <w:bCs/>
          <w:sz w:val="32"/>
          <w:szCs w:val="32"/>
        </w:rPr>
        <w:t>重点建设项目办公室</w:t>
      </w:r>
      <w:r>
        <w:rPr>
          <w:rFonts w:hint="eastAsia" w:ascii="Times New Roman" w:hAnsi="Times New Roman" w:eastAsia="仿宋_GB2312" w:cs="Times New Roman"/>
          <w:b w:val="0"/>
          <w:bCs w:val="0"/>
          <w:kern w:val="0"/>
          <w:sz w:val="32"/>
          <w:szCs w:val="32"/>
          <w:lang w:val="en-US" w:eastAsia="zh-CN"/>
        </w:rPr>
        <w:t>3</w:t>
      </w:r>
      <w:r>
        <w:rPr>
          <w:rFonts w:hint="default" w:ascii="Times New Roman" w:hAnsi="Times New Roman" w:eastAsia="仿宋_GB2312" w:cs="Times New Roman"/>
          <w:b w:val="0"/>
          <w:bCs w:val="0"/>
          <w:kern w:val="0"/>
          <w:sz w:val="32"/>
          <w:szCs w:val="32"/>
        </w:rPr>
        <w:t>个项目实行了绩效目标管理，涉及一般公共预算当年财政拨款</w:t>
      </w:r>
      <w:r>
        <w:rPr>
          <w:rFonts w:hint="eastAsia" w:ascii="Times New Roman" w:hAnsi="Times New Roman" w:eastAsia="仿宋_GB2312" w:cs="Times New Roman"/>
          <w:kern w:val="0"/>
          <w:sz w:val="32"/>
          <w:szCs w:val="32"/>
          <w:lang w:val="en-US" w:eastAsia="zh-CN"/>
        </w:rPr>
        <w:t>8228.48</w:t>
      </w:r>
      <w:r>
        <w:rPr>
          <w:rFonts w:hint="default" w:ascii="Times New Roman" w:hAnsi="Times New Roman" w:eastAsia="仿宋_GB2312" w:cs="Times New Roman"/>
          <w:b w:val="0"/>
          <w:bCs w:val="0"/>
          <w:kern w:val="0"/>
          <w:sz w:val="32"/>
          <w:szCs w:val="32"/>
        </w:rPr>
        <w:t>万元、政府性基金预算当年财政拨款</w:t>
      </w:r>
      <w:r>
        <w:rPr>
          <w:rFonts w:hint="default" w:ascii="Times New Roman" w:hAnsi="Times New Roman" w:eastAsia="仿宋_GB2312" w:cs="Times New Roman"/>
          <w:b w:val="0"/>
          <w:bCs w:val="0"/>
          <w:kern w:val="0"/>
          <w:sz w:val="32"/>
          <w:szCs w:val="32"/>
          <w:lang w:val="en-US" w:eastAsia="zh-CN"/>
        </w:rPr>
        <w:t>0</w:t>
      </w:r>
      <w:r>
        <w:rPr>
          <w:rFonts w:hint="default" w:ascii="Times New Roman" w:hAnsi="Times New Roman" w:eastAsia="仿宋_GB2312" w:cs="Times New Roman"/>
          <w:b w:val="0"/>
          <w:bCs w:val="0"/>
          <w:kern w:val="0"/>
          <w:sz w:val="32"/>
          <w:szCs w:val="32"/>
        </w:rPr>
        <w:t>万元、财政专户管理资金当年安排</w:t>
      </w:r>
      <w:r>
        <w:rPr>
          <w:rFonts w:hint="default" w:ascii="Times New Roman" w:hAnsi="Times New Roman" w:eastAsia="仿宋_GB2312" w:cs="Times New Roman"/>
          <w:b w:val="0"/>
          <w:bCs w:val="0"/>
          <w:kern w:val="0"/>
          <w:sz w:val="32"/>
          <w:szCs w:val="32"/>
          <w:lang w:val="en-US" w:eastAsia="zh-CN"/>
        </w:rPr>
        <w:t>0</w:t>
      </w:r>
      <w:r>
        <w:rPr>
          <w:rFonts w:hint="default" w:ascii="Times New Roman" w:hAnsi="Times New Roman" w:eastAsia="仿宋_GB2312" w:cs="Times New Roman"/>
          <w:b w:val="0"/>
          <w:bCs w:val="0"/>
          <w:kern w:val="0"/>
          <w:sz w:val="32"/>
          <w:szCs w:val="32"/>
        </w:rPr>
        <w:t>万元。</w:t>
      </w:r>
    </w:p>
    <w:p>
      <w:pPr>
        <w:pStyle w:val="7"/>
        <w:adjustRightInd w:val="0"/>
        <w:snapToGrid w:val="0"/>
        <w:spacing w:line="560" w:lineRule="exact"/>
        <w:jc w:val="both"/>
        <w:rPr>
          <w:rFonts w:hint="default" w:ascii="Times New Roman" w:hAnsi="Times New Roman" w:eastAsia="黑体" w:cs="Times New Roman"/>
          <w:b w:val="0"/>
          <w:bCs w:val="0"/>
          <w:sz w:val="36"/>
          <w:szCs w:val="36"/>
        </w:rPr>
      </w:pPr>
    </w:p>
    <w:p>
      <w:pPr>
        <w:pStyle w:val="7"/>
        <w:adjustRightInd w:val="0"/>
        <w:snapToGrid w:val="0"/>
        <w:spacing w:line="560" w:lineRule="exact"/>
        <w:jc w:val="center"/>
        <w:rPr>
          <w:rFonts w:hint="default" w:ascii="Times New Roman" w:hAnsi="Times New Roman" w:eastAsia="黑体" w:cs="Times New Roman"/>
          <w:bCs/>
          <w:sz w:val="36"/>
          <w:szCs w:val="36"/>
          <w:highlight w:val="yellow"/>
        </w:rPr>
      </w:pPr>
      <w:r>
        <w:rPr>
          <w:rFonts w:hint="default" w:ascii="Times New Roman" w:hAnsi="Times New Roman" w:eastAsia="黑体" w:cs="Times New Roman"/>
          <w:bCs/>
          <w:sz w:val="36"/>
          <w:szCs w:val="36"/>
          <w:highlight w:val="none"/>
        </w:rPr>
        <w:t>第四部分 名词解释</w:t>
      </w:r>
    </w:p>
    <w:p>
      <w:pPr>
        <w:rPr>
          <w:rFonts w:hint="default" w:ascii="Times New Roman" w:hAnsi="Times New Roman" w:cs="Times New Roman"/>
        </w:rPr>
      </w:pPr>
    </w:p>
    <w:p>
      <w:pPr>
        <w:pStyle w:val="7"/>
        <w:adjustRightInd w:val="0"/>
        <w:snapToGrid w:val="0"/>
        <w:spacing w:line="560" w:lineRule="exact"/>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一、财政拨款收入：</w:t>
      </w:r>
      <w:r>
        <w:rPr>
          <w:rFonts w:hint="default" w:ascii="Times New Roman" w:hAnsi="Times New Roman" w:eastAsia="仿宋_GB2312" w:cs="Times New Roman"/>
          <w:sz w:val="32"/>
          <w:szCs w:val="32"/>
        </w:rPr>
        <w:t>指部门或单位从同级财政部门取得的财政预算资金。</w:t>
      </w:r>
    </w:p>
    <w:p>
      <w:pPr>
        <w:pStyle w:val="7"/>
        <w:adjustRightInd w:val="0"/>
        <w:snapToGrid w:val="0"/>
        <w:spacing w:line="560" w:lineRule="exact"/>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二、事业收入：</w:t>
      </w:r>
      <w:r>
        <w:rPr>
          <w:rFonts w:hint="default" w:ascii="Times New Roman" w:hAnsi="Times New Roman" w:eastAsia="仿宋_GB2312" w:cs="Times New Roman"/>
          <w:sz w:val="32"/>
          <w:szCs w:val="32"/>
        </w:rPr>
        <w:t>指事业单位开展专业业务活动及辅助活动所取得的收入。</w:t>
      </w:r>
    </w:p>
    <w:p>
      <w:pPr>
        <w:pStyle w:val="7"/>
        <w:adjustRightInd w:val="0"/>
        <w:snapToGrid w:val="0"/>
        <w:spacing w:line="560" w:lineRule="exact"/>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三、财政专户管理资金：</w:t>
      </w:r>
      <w:r>
        <w:rPr>
          <w:rFonts w:hint="default" w:ascii="Times New Roman" w:hAnsi="Times New Roman" w:eastAsia="仿宋_GB2312" w:cs="Times New Roman"/>
          <w:sz w:val="32"/>
          <w:szCs w:val="32"/>
        </w:rPr>
        <w:t>指按照非税收入管理相关规定，纳入财政专户管理的教育收费等。</w:t>
      </w:r>
    </w:p>
    <w:p>
      <w:pPr>
        <w:pStyle w:val="7"/>
        <w:adjustRightInd w:val="0"/>
        <w:snapToGrid w:val="0"/>
        <w:spacing w:line="560" w:lineRule="exact"/>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四、事业单位经营收入：</w:t>
      </w:r>
      <w:r>
        <w:rPr>
          <w:rFonts w:hint="default" w:ascii="Times New Roman" w:hAnsi="Times New Roman" w:eastAsia="仿宋_GB2312" w:cs="Times New Roman"/>
          <w:sz w:val="32"/>
          <w:szCs w:val="32"/>
        </w:rPr>
        <w:t>指事业单位在专业业务活动及其辅助活动之外开展非独立核算经营活动取得的收入。</w:t>
      </w:r>
    </w:p>
    <w:p>
      <w:pPr>
        <w:pStyle w:val="7"/>
        <w:adjustRightInd w:val="0"/>
        <w:snapToGrid w:val="0"/>
        <w:spacing w:line="560" w:lineRule="exact"/>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五、附属单位上缴收入：</w:t>
      </w:r>
      <w:r>
        <w:rPr>
          <w:rFonts w:hint="default" w:ascii="Times New Roman" w:hAnsi="Times New Roman" w:eastAsia="仿宋_GB2312" w:cs="Times New Roman"/>
          <w:sz w:val="32"/>
          <w:szCs w:val="32"/>
        </w:rPr>
        <w:t>本单位所属下级单位上缴给本单位的全部收入。</w:t>
      </w:r>
    </w:p>
    <w:p>
      <w:pPr>
        <w:pStyle w:val="7"/>
        <w:adjustRightInd w:val="0"/>
        <w:snapToGrid w:val="0"/>
        <w:spacing w:line="560" w:lineRule="exact"/>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六、上年结转：</w:t>
      </w:r>
      <w:r>
        <w:rPr>
          <w:rFonts w:hint="default" w:ascii="Times New Roman" w:hAnsi="Times New Roman" w:eastAsia="仿宋_GB2312" w:cs="Times New Roman"/>
          <w:sz w:val="32"/>
          <w:szCs w:val="32"/>
        </w:rPr>
        <w:t>指以前年度安排、结转到本年仍按原用途继续使用的资金。</w:t>
      </w:r>
    </w:p>
    <w:p>
      <w:pPr>
        <w:pStyle w:val="7"/>
        <w:adjustRightInd w:val="0"/>
        <w:snapToGrid w:val="0"/>
        <w:spacing w:line="560" w:lineRule="exact"/>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七、结转下年：</w:t>
      </w:r>
      <w:r>
        <w:rPr>
          <w:rFonts w:hint="default" w:ascii="Times New Roman" w:hAnsi="Times New Roman" w:eastAsia="仿宋_GB2312" w:cs="Times New Roman"/>
          <w:sz w:val="32"/>
          <w:szCs w:val="32"/>
        </w:rPr>
        <w:t>指以前年度预算安排、因客观条件发生变化无法按原计划实施，需以后年度按原用途继续使用的资金。</w:t>
      </w:r>
    </w:p>
    <w:p>
      <w:pPr>
        <w:pStyle w:val="7"/>
        <w:adjustRightInd w:val="0"/>
        <w:snapToGrid w:val="0"/>
        <w:spacing w:line="560" w:lineRule="exact"/>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八、基本支出：</w:t>
      </w:r>
      <w:r>
        <w:rPr>
          <w:rFonts w:hint="default" w:ascii="Times New Roman" w:hAnsi="Times New Roman" w:eastAsia="仿宋_GB2312" w:cs="Times New Roman"/>
          <w:sz w:val="32"/>
          <w:szCs w:val="32"/>
        </w:rPr>
        <w:t>指为保障机构正常运转、完成日常工作任务而发生的人员支出和公用支出。</w:t>
      </w:r>
    </w:p>
    <w:p>
      <w:pPr>
        <w:pStyle w:val="7"/>
        <w:adjustRightInd w:val="0"/>
        <w:snapToGrid w:val="0"/>
        <w:spacing w:line="560" w:lineRule="exact"/>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九、项目支出：</w:t>
      </w:r>
      <w:r>
        <w:rPr>
          <w:rFonts w:hint="default" w:ascii="Times New Roman" w:hAnsi="Times New Roman" w:eastAsia="仿宋_GB2312" w:cs="Times New Roman"/>
          <w:sz w:val="32"/>
          <w:szCs w:val="32"/>
        </w:rPr>
        <w:t>指在除基本支出之外的支出，主要用于完成特定的工作任务和事业发展目标。</w:t>
      </w:r>
    </w:p>
    <w:p>
      <w:pPr>
        <w:pStyle w:val="7"/>
        <w:adjustRightInd w:val="0"/>
        <w:snapToGrid w:val="0"/>
        <w:spacing w:line="560" w:lineRule="exact"/>
        <w:ind w:firstLine="630" w:firstLineChars="196"/>
      </w:pPr>
      <w:r>
        <w:rPr>
          <w:rFonts w:hint="default" w:ascii="Times New Roman" w:hAnsi="Times New Roman" w:eastAsia="仿宋_GB2312" w:cs="Times New Roman"/>
          <w:b/>
          <w:sz w:val="32"/>
          <w:szCs w:val="32"/>
        </w:rPr>
        <w:t xml:space="preserve">十、机关运行经费: </w:t>
      </w:r>
      <w:r>
        <w:rPr>
          <w:rFonts w:hint="default" w:ascii="Times New Roman" w:hAnsi="Times New Roman" w:eastAsia="仿宋_GB2312" w:cs="Times New Roman"/>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sectPr>
      <w:pgSz w:w="11906" w:h="16838"/>
      <w:pgMar w:top="1304" w:right="1134" w:bottom="1304" w:left="124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TimesNewRoman">
    <w:altName w:val="Arial Unicode MS"/>
    <w:panose1 w:val="00000000000000000000"/>
    <w:charset w:val="00"/>
    <w:family w:val="auto"/>
    <w:pitch w:val="default"/>
    <w:sig w:usb0="00000000" w:usb1="00000000" w:usb2="00000029" w:usb3="00000000" w:csb0="600001FF" w:csb1="FFFF0000"/>
  </w:font>
  <w:font w:name="黑体">
    <w:panose1 w:val="02010609060101010101"/>
    <w:charset w:val="86"/>
    <w:family w:val="swiss"/>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swiss"/>
    <w:pitch w:val="default"/>
    <w:sig w:usb0="00000001" w:usb1="080E0000" w:usb2="00000000" w:usb3="00000000" w:csb0="00040000" w:csb1="00000000"/>
  </w:font>
  <w:font w:name="楷体_GB2312">
    <w:panose1 w:val="02010609030101010101"/>
    <w:charset w:val="86"/>
    <w:family w:val="swiss"/>
    <w:pitch w:val="default"/>
    <w:sig w:usb0="00000001" w:usb1="080E0000" w:usb2="00000000" w:usb3="00000000" w:csb0="00040000" w:csb1="00000000"/>
  </w:font>
  <w:font w:name="汉仪中秀体简">
    <w:altName w:val="Arial Unicode MS"/>
    <w:panose1 w:val="00000000000000000000"/>
    <w:charset w:val="00"/>
    <w:family w:val="auto"/>
    <w:pitch w:val="default"/>
    <w:sig w:usb0="00000000" w:usb1="00000000" w:usb2="00000000" w:usb3="00000000" w:csb0="00040001" w:csb1="00000000"/>
  </w:font>
  <w:font w:name="Arial Unicode MS">
    <w:panose1 w:val="020B0604020202020204"/>
    <w:charset w:val="86"/>
    <w:family w:val="auto"/>
    <w:pitch w:val="default"/>
    <w:sig w:usb0="FFFFFFFF" w:usb1="E9FFFFFF" w:usb2="0000003F" w:usb3="00000000" w:csb0="603F01FF" w:csb1="FFFF0000"/>
  </w:font>
  <w:font w:name="黑体">
    <w:panose1 w:val="02010609060101010101"/>
    <w:charset w:val="86"/>
    <w:family w:val="decorative"/>
    <w:pitch w:val="default"/>
    <w:sig w:usb0="800002BF" w:usb1="38CF7CFA" w:usb2="00000016" w:usb3="00000000" w:csb0="00040001" w:csb1="00000000"/>
  </w:font>
  <w:font w:name="仿宋_GB2312">
    <w:panose1 w:val="02010609030101010101"/>
    <w:charset w:val="86"/>
    <w:family w:val="decorative"/>
    <w:pitch w:val="default"/>
    <w:sig w:usb0="00000001" w:usb1="080E0000" w:usb2="00000000" w:usb3="00000000" w:csb0="00040000" w:csb1="00000000"/>
  </w:font>
  <w:font w:name="楷体_GB2312">
    <w:panose1 w:val="02010609030101010101"/>
    <w:charset w:val="86"/>
    <w:family w:val="decorative"/>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黑体">
    <w:panose1 w:val="02010609060101010101"/>
    <w:charset w:val="86"/>
    <w:family w:val="roman"/>
    <w:pitch w:val="default"/>
    <w:sig w:usb0="800002BF" w:usb1="38CF7CFA" w:usb2="00000016" w:usb3="00000000" w:csb0="00040001" w:csb1="00000000"/>
  </w:font>
  <w:font w:name="仿宋_GB2312">
    <w:panose1 w:val="02010609030101010101"/>
    <w:charset w:val="86"/>
    <w:family w:val="roman"/>
    <w:pitch w:val="default"/>
    <w:sig w:usb0="00000001" w:usb1="080E0000" w:usb2="00000000" w:usb3="00000000" w:csb0="00040000" w:csb1="00000000"/>
  </w:font>
  <w:font w:name="楷体_GB2312">
    <w:panose1 w:val="02010609030101010101"/>
    <w:charset w:val="86"/>
    <w:family w:val="roman"/>
    <w:pitch w:val="default"/>
    <w:sig w:usb0="00000001" w:usb1="080E0000" w:usb2="00000000" w:usb3="00000000" w:csb0="00040000" w:csb1="00000000"/>
  </w:font>
  <w:font w:name="黑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 w:name="华文行楷">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华文楷体">
    <w:panose1 w:val="02010600040101010101"/>
    <w:charset w:val="86"/>
    <w:family w:val="auto"/>
    <w:pitch w:val="default"/>
    <w:sig w:usb0="00000287" w:usb1="080F0000" w:usb2="00000000" w:usb3="00000000" w:csb0="0004009F" w:csb1="DFD70000"/>
  </w:font>
  <w:font w:name="华文新魏">
    <w:panose1 w:val="02010800040101010101"/>
    <w:charset w:val="86"/>
    <w:family w:val="auto"/>
    <w:pitch w:val="default"/>
    <w:sig w:usb0="00000001" w:usb1="080F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华文琥珀">
    <w:panose1 w:val="02010800040101010101"/>
    <w:charset w:val="86"/>
    <w:family w:val="auto"/>
    <w:pitch w:val="default"/>
    <w:sig w:usb0="00000001" w:usb1="080F0000" w:usb2="00000000" w:usb3="00000000" w:csb0="00040000" w:csb1="00000000"/>
  </w:font>
  <w:font w:name="华文彩云">
    <w:panose1 w:val="02010800040101010101"/>
    <w:charset w:val="86"/>
    <w:family w:val="auto"/>
    <w:pitch w:val="default"/>
    <w:sig w:usb0="00000001" w:usb1="080F0000" w:usb2="00000000" w:usb3="00000000" w:csb0="00040000" w:csb1="00000000"/>
  </w:font>
  <w:font w:name="华文宋体">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方正仿宋_GBK">
    <w:panose1 w:val="02000000000000000000"/>
    <w:charset w:val="86"/>
    <w:family w:val="auto"/>
    <w:pitch w:val="default"/>
    <w:sig w:usb0="A00002BF" w:usb1="38CF7CFA" w:usb2="00082016" w:usb3="00000000" w:csb0="00040001" w:csb1="00000000"/>
  </w:font>
  <w:font w:name="等线">
    <w:altName w:val="华文中宋"/>
    <w:panose1 w:val="02010600030101010101"/>
    <w:charset w:val="86"/>
    <w:family w:val="auto"/>
    <w:pitch w:val="default"/>
    <w:sig w:usb0="00000000" w:usb1="00000000" w:usb2="00000016" w:usb3="00000000" w:csb0="0004000F" w:csb1="00000000"/>
  </w:font>
  <w:font w:name="楷体">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A00002BF" w:usb1="38CF7CFA" w:usb2="00082016" w:usb3="00000000" w:csb0="00040001" w:csb1="00000000"/>
  </w:font>
  <w:font w:name="方正楷体_GBK">
    <w:panose1 w:val="02000000000000000000"/>
    <w:charset w:val="86"/>
    <w:family w:val="auto"/>
    <w:pitch w:val="default"/>
    <w:sig w:usb0="A00002BF" w:usb1="38CF7CFA" w:usb2="00082016" w:usb3="00000000" w:csb0="00040001" w:csb1="00000000"/>
  </w:font>
  <w:font w:name="Noto Sans Syriac Eastern">
    <w:altName w:val="宋体"/>
    <w:panose1 w:val="02040503050306020203"/>
    <w:charset w:val="86"/>
    <w:family w:val="auto"/>
    <w:pitch w:val="default"/>
    <w:sig w:usb0="00000000" w:usb1="00000000" w:usb2="00000080" w:usb3="00000000" w:csb0="203E0161" w:csb1="D7FF0000"/>
  </w:font>
  <w:font w:name="方正宋体S-超大字符集">
    <w:altName w:val="宋体"/>
    <w:panose1 w:val="02000000000000000000"/>
    <w:charset w:val="86"/>
    <w:family w:val="auto"/>
    <w:pitch w:val="default"/>
    <w:sig w:usb0="00000000" w:usb1="00000000" w:usb2="00000000" w:usb3="00000000" w:csb0="00040000" w:csb1="00000000"/>
  </w:font>
  <w:font w:name="楷体">
    <w:panose1 w:val="02010609060101010101"/>
    <w:charset w:val="86"/>
    <w:family w:val="swiss"/>
    <w:pitch w:val="default"/>
    <w:sig w:usb0="800002BF" w:usb1="38CF7CFA" w:usb2="00000016" w:usb3="00000000" w:csb0="00040001" w:csb1="00000000"/>
  </w:font>
  <w:font w:name="楷体">
    <w:panose1 w:val="02010609060101010101"/>
    <w:charset w:val="86"/>
    <w:family w:val="decorative"/>
    <w:pitch w:val="default"/>
    <w:sig w:usb0="800002BF" w:usb1="38CF7CFA" w:usb2="00000016" w:usb3="00000000" w:csb0="00040001" w:csb1="00000000"/>
  </w:font>
  <w:font w:name="楷体">
    <w:panose1 w:val="02010609060101010101"/>
    <w:charset w:val="86"/>
    <w:family w:val="roman"/>
    <w:pitch w:val="default"/>
    <w:sig w:usb0="800002BF" w:usb1="38CF7CFA" w:usb2="00000016" w:usb3="00000000" w:csb0="00040001" w:csb1="00000000"/>
  </w:font>
  <w:font w:name="font-weight : 400">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2"/>
  </w:compat>
  <w:rsids>
    <w:rsidRoot w:val="00E907C4"/>
    <w:rsid w:val="000E28EE"/>
    <w:rsid w:val="0013032D"/>
    <w:rsid w:val="00267E33"/>
    <w:rsid w:val="00322DE0"/>
    <w:rsid w:val="0039276B"/>
    <w:rsid w:val="004A4DC6"/>
    <w:rsid w:val="0057562B"/>
    <w:rsid w:val="005E4F29"/>
    <w:rsid w:val="006546AF"/>
    <w:rsid w:val="00726D96"/>
    <w:rsid w:val="00740B10"/>
    <w:rsid w:val="00854DE8"/>
    <w:rsid w:val="008F6D1A"/>
    <w:rsid w:val="009168AC"/>
    <w:rsid w:val="00976388"/>
    <w:rsid w:val="009A3CA3"/>
    <w:rsid w:val="009E5D12"/>
    <w:rsid w:val="00AE3242"/>
    <w:rsid w:val="00B964EC"/>
    <w:rsid w:val="00BD640A"/>
    <w:rsid w:val="00C24C4D"/>
    <w:rsid w:val="00DB2A5C"/>
    <w:rsid w:val="00E11C7F"/>
    <w:rsid w:val="00E907C4"/>
    <w:rsid w:val="00EC7755"/>
    <w:rsid w:val="00EF6A16"/>
    <w:rsid w:val="00F45ECB"/>
    <w:rsid w:val="00F974AD"/>
    <w:rsid w:val="0136718A"/>
    <w:rsid w:val="013F7A9A"/>
    <w:rsid w:val="018A0E13"/>
    <w:rsid w:val="01D63491"/>
    <w:rsid w:val="01F462C4"/>
    <w:rsid w:val="02F538E8"/>
    <w:rsid w:val="03074E87"/>
    <w:rsid w:val="033311CF"/>
    <w:rsid w:val="033930D8"/>
    <w:rsid w:val="03526200"/>
    <w:rsid w:val="03F66D0E"/>
    <w:rsid w:val="03FA08F6"/>
    <w:rsid w:val="03FD0897"/>
    <w:rsid w:val="04897582"/>
    <w:rsid w:val="049B749C"/>
    <w:rsid w:val="04EF7042"/>
    <w:rsid w:val="05110760"/>
    <w:rsid w:val="053F7FAA"/>
    <w:rsid w:val="058B2628"/>
    <w:rsid w:val="05937A34"/>
    <w:rsid w:val="059960BA"/>
    <w:rsid w:val="05B16FE4"/>
    <w:rsid w:val="05BC0BF8"/>
    <w:rsid w:val="05BD0878"/>
    <w:rsid w:val="0654690A"/>
    <w:rsid w:val="0685283F"/>
    <w:rsid w:val="06BF1720"/>
    <w:rsid w:val="06C013A0"/>
    <w:rsid w:val="075E7FA4"/>
    <w:rsid w:val="07CA2ED7"/>
    <w:rsid w:val="07F20818"/>
    <w:rsid w:val="08583A3F"/>
    <w:rsid w:val="08FD1FCF"/>
    <w:rsid w:val="090D69E6"/>
    <w:rsid w:val="095D7A6A"/>
    <w:rsid w:val="09B6397C"/>
    <w:rsid w:val="09B671FF"/>
    <w:rsid w:val="09C94B9B"/>
    <w:rsid w:val="09F102DE"/>
    <w:rsid w:val="0A0E788E"/>
    <w:rsid w:val="0A4A55C0"/>
    <w:rsid w:val="0A542580"/>
    <w:rsid w:val="0A8B4C59"/>
    <w:rsid w:val="0A94336A"/>
    <w:rsid w:val="0AEC39F9"/>
    <w:rsid w:val="0AFD7516"/>
    <w:rsid w:val="0B27035A"/>
    <w:rsid w:val="0B2B0F5F"/>
    <w:rsid w:val="0BB64746"/>
    <w:rsid w:val="0BF255C1"/>
    <w:rsid w:val="0C375F99"/>
    <w:rsid w:val="0C9308B1"/>
    <w:rsid w:val="0D1C7510"/>
    <w:rsid w:val="0DF70178"/>
    <w:rsid w:val="0E7E7158"/>
    <w:rsid w:val="0E8457DE"/>
    <w:rsid w:val="0F2C4CF2"/>
    <w:rsid w:val="0FAF1A48"/>
    <w:rsid w:val="103A162C"/>
    <w:rsid w:val="10A50CDB"/>
    <w:rsid w:val="11771034"/>
    <w:rsid w:val="11811943"/>
    <w:rsid w:val="11886D50"/>
    <w:rsid w:val="11C15FB0"/>
    <w:rsid w:val="11E670E9"/>
    <w:rsid w:val="12922A85"/>
    <w:rsid w:val="12C15B53"/>
    <w:rsid w:val="142A18A2"/>
    <w:rsid w:val="142D60AA"/>
    <w:rsid w:val="144E07DC"/>
    <w:rsid w:val="14787422"/>
    <w:rsid w:val="14B33D84"/>
    <w:rsid w:val="14FF5D93"/>
    <w:rsid w:val="153220D4"/>
    <w:rsid w:val="157463C1"/>
    <w:rsid w:val="164A2BA1"/>
    <w:rsid w:val="1677496A"/>
    <w:rsid w:val="167823EB"/>
    <w:rsid w:val="167A36F0"/>
    <w:rsid w:val="1680307B"/>
    <w:rsid w:val="16833FFF"/>
    <w:rsid w:val="17CA6515"/>
    <w:rsid w:val="17EB6A4A"/>
    <w:rsid w:val="18820242"/>
    <w:rsid w:val="18DD095C"/>
    <w:rsid w:val="191D5EC2"/>
    <w:rsid w:val="19314B62"/>
    <w:rsid w:val="19443B83"/>
    <w:rsid w:val="19C41B53"/>
    <w:rsid w:val="19EA1D92"/>
    <w:rsid w:val="1AC8397F"/>
    <w:rsid w:val="1AEE3BBF"/>
    <w:rsid w:val="1B0921EA"/>
    <w:rsid w:val="1BA70DEF"/>
    <w:rsid w:val="1BCB22A8"/>
    <w:rsid w:val="1C222CB7"/>
    <w:rsid w:val="1C752741"/>
    <w:rsid w:val="1C7E55CF"/>
    <w:rsid w:val="1D7E5172"/>
    <w:rsid w:val="1DA03128"/>
    <w:rsid w:val="1DA453B1"/>
    <w:rsid w:val="1DC0365D"/>
    <w:rsid w:val="1DFA253D"/>
    <w:rsid w:val="1E3958A5"/>
    <w:rsid w:val="1E8E442B"/>
    <w:rsid w:val="1F412854"/>
    <w:rsid w:val="1F523DF3"/>
    <w:rsid w:val="1F5514F4"/>
    <w:rsid w:val="1FB13E0C"/>
    <w:rsid w:val="20A90B21"/>
    <w:rsid w:val="212152E8"/>
    <w:rsid w:val="21290176"/>
    <w:rsid w:val="216721D9"/>
    <w:rsid w:val="22077B64"/>
    <w:rsid w:val="22185880"/>
    <w:rsid w:val="232721BA"/>
    <w:rsid w:val="23B52D23"/>
    <w:rsid w:val="23C358BC"/>
    <w:rsid w:val="24020C24"/>
    <w:rsid w:val="24B351C4"/>
    <w:rsid w:val="25223279"/>
    <w:rsid w:val="25C27580"/>
    <w:rsid w:val="26257624"/>
    <w:rsid w:val="262B37F8"/>
    <w:rsid w:val="264D4F65"/>
    <w:rsid w:val="26590D78"/>
    <w:rsid w:val="2684763E"/>
    <w:rsid w:val="26862B41"/>
    <w:rsid w:val="26DB38D0"/>
    <w:rsid w:val="270A0B9B"/>
    <w:rsid w:val="270B661D"/>
    <w:rsid w:val="27172430"/>
    <w:rsid w:val="271A0E36"/>
    <w:rsid w:val="27372964"/>
    <w:rsid w:val="27520F90"/>
    <w:rsid w:val="2764472D"/>
    <w:rsid w:val="281D195D"/>
    <w:rsid w:val="28405395"/>
    <w:rsid w:val="28D07202"/>
    <w:rsid w:val="2A1E4926"/>
    <w:rsid w:val="2A3B1CD8"/>
    <w:rsid w:val="2AAE6793"/>
    <w:rsid w:val="2B991C14"/>
    <w:rsid w:val="2BA56D2B"/>
    <w:rsid w:val="2BA87CB0"/>
    <w:rsid w:val="2BB36041"/>
    <w:rsid w:val="2C2C2488"/>
    <w:rsid w:val="2C4320AD"/>
    <w:rsid w:val="2CCD678E"/>
    <w:rsid w:val="2D5A1875"/>
    <w:rsid w:val="2D5B72F6"/>
    <w:rsid w:val="2D5E607D"/>
    <w:rsid w:val="2DB5450D"/>
    <w:rsid w:val="2DFB13FE"/>
    <w:rsid w:val="2E7745CB"/>
    <w:rsid w:val="2E807459"/>
    <w:rsid w:val="2ED21461"/>
    <w:rsid w:val="2EE54BFF"/>
    <w:rsid w:val="2F031C30"/>
    <w:rsid w:val="2F107C41"/>
    <w:rsid w:val="2F681955"/>
    <w:rsid w:val="300C7EE4"/>
    <w:rsid w:val="30355826"/>
    <w:rsid w:val="303A1CAD"/>
    <w:rsid w:val="30DD6F38"/>
    <w:rsid w:val="30E07EBD"/>
    <w:rsid w:val="314743E9"/>
    <w:rsid w:val="315F400E"/>
    <w:rsid w:val="317C35BE"/>
    <w:rsid w:val="32CA6862"/>
    <w:rsid w:val="32D1066D"/>
    <w:rsid w:val="32EA3795"/>
    <w:rsid w:val="33A928CE"/>
    <w:rsid w:val="34A80273"/>
    <w:rsid w:val="34B13101"/>
    <w:rsid w:val="34C42121"/>
    <w:rsid w:val="34C865A9"/>
    <w:rsid w:val="351D0231"/>
    <w:rsid w:val="357E6FD1"/>
    <w:rsid w:val="35CE47D2"/>
    <w:rsid w:val="360714B4"/>
    <w:rsid w:val="36306DF5"/>
    <w:rsid w:val="36692452"/>
    <w:rsid w:val="36E13395"/>
    <w:rsid w:val="371812F1"/>
    <w:rsid w:val="371C5779"/>
    <w:rsid w:val="37A421DA"/>
    <w:rsid w:val="39343C61"/>
    <w:rsid w:val="396543B9"/>
    <w:rsid w:val="3A2C2AFD"/>
    <w:rsid w:val="3A6E266D"/>
    <w:rsid w:val="3A867672"/>
    <w:rsid w:val="3AA2053D"/>
    <w:rsid w:val="3ADF03A2"/>
    <w:rsid w:val="3B4535CA"/>
    <w:rsid w:val="3C061489"/>
    <w:rsid w:val="3C60089E"/>
    <w:rsid w:val="3C6D2133"/>
    <w:rsid w:val="3CC71547"/>
    <w:rsid w:val="3D3C5C83"/>
    <w:rsid w:val="3D635B43"/>
    <w:rsid w:val="3DC96B6C"/>
    <w:rsid w:val="3DE06791"/>
    <w:rsid w:val="3DFF1244"/>
    <w:rsid w:val="3EFE1167"/>
    <w:rsid w:val="3F4C3465"/>
    <w:rsid w:val="3F8D5553"/>
    <w:rsid w:val="3F8F64D8"/>
    <w:rsid w:val="406E00C4"/>
    <w:rsid w:val="40C83C56"/>
    <w:rsid w:val="40D91972"/>
    <w:rsid w:val="40F97CA8"/>
    <w:rsid w:val="40FB31AB"/>
    <w:rsid w:val="420A3368"/>
    <w:rsid w:val="4237620D"/>
    <w:rsid w:val="4359650D"/>
    <w:rsid w:val="439B27FA"/>
    <w:rsid w:val="43FF6C9B"/>
    <w:rsid w:val="44050BA5"/>
    <w:rsid w:val="442A5561"/>
    <w:rsid w:val="44F3082D"/>
    <w:rsid w:val="45996A3C"/>
    <w:rsid w:val="462875A5"/>
    <w:rsid w:val="46B61793"/>
    <w:rsid w:val="47380A67"/>
    <w:rsid w:val="4764152B"/>
    <w:rsid w:val="477C46F9"/>
    <w:rsid w:val="48185B57"/>
    <w:rsid w:val="48405A16"/>
    <w:rsid w:val="489C032E"/>
    <w:rsid w:val="48C97EF9"/>
    <w:rsid w:val="48CA33FC"/>
    <w:rsid w:val="490D18E7"/>
    <w:rsid w:val="49302DA0"/>
    <w:rsid w:val="499A49CE"/>
    <w:rsid w:val="49E22BC4"/>
    <w:rsid w:val="49E43B49"/>
    <w:rsid w:val="49F266E1"/>
    <w:rsid w:val="49FC6FF1"/>
    <w:rsid w:val="4A2139AD"/>
    <w:rsid w:val="4A4E3578"/>
    <w:rsid w:val="4A7E62C5"/>
    <w:rsid w:val="4AB92C27"/>
    <w:rsid w:val="4ACD3AC6"/>
    <w:rsid w:val="4AF57209"/>
    <w:rsid w:val="4AF61407"/>
    <w:rsid w:val="4B5814AC"/>
    <w:rsid w:val="4BBB5CCD"/>
    <w:rsid w:val="4BBD11D0"/>
    <w:rsid w:val="4BE87A96"/>
    <w:rsid w:val="4CF27F48"/>
    <w:rsid w:val="4D185C09"/>
    <w:rsid w:val="4D4F3B65"/>
    <w:rsid w:val="4D8F494F"/>
    <w:rsid w:val="4E391564"/>
    <w:rsid w:val="4E574397"/>
    <w:rsid w:val="4E657E2A"/>
    <w:rsid w:val="4E937674"/>
    <w:rsid w:val="4EC549CB"/>
    <w:rsid w:val="4EDB32EC"/>
    <w:rsid w:val="4F0679B3"/>
    <w:rsid w:val="4F136CC9"/>
    <w:rsid w:val="4F78446F"/>
    <w:rsid w:val="4F787CF2"/>
    <w:rsid w:val="4FBA075B"/>
    <w:rsid w:val="4FBA295A"/>
    <w:rsid w:val="50113369"/>
    <w:rsid w:val="505B02E5"/>
    <w:rsid w:val="506E5C81"/>
    <w:rsid w:val="50EE52D5"/>
    <w:rsid w:val="513037C0"/>
    <w:rsid w:val="51914ADE"/>
    <w:rsid w:val="51974469"/>
    <w:rsid w:val="51E57DEC"/>
    <w:rsid w:val="52582329"/>
    <w:rsid w:val="528256EC"/>
    <w:rsid w:val="528D14FE"/>
    <w:rsid w:val="52AA68B0"/>
    <w:rsid w:val="52E90593"/>
    <w:rsid w:val="52EA3E16"/>
    <w:rsid w:val="52F23421"/>
    <w:rsid w:val="53294C00"/>
    <w:rsid w:val="53EC273F"/>
    <w:rsid w:val="54735E9C"/>
    <w:rsid w:val="54AE27FD"/>
    <w:rsid w:val="55245CBF"/>
    <w:rsid w:val="55F27611"/>
    <w:rsid w:val="563170F6"/>
    <w:rsid w:val="56563AB2"/>
    <w:rsid w:val="56A02C2D"/>
    <w:rsid w:val="56A725B8"/>
    <w:rsid w:val="573213A1"/>
    <w:rsid w:val="57717B9F"/>
    <w:rsid w:val="57882F2B"/>
    <w:rsid w:val="578B3EAF"/>
    <w:rsid w:val="57B0086C"/>
    <w:rsid w:val="57B317F1"/>
    <w:rsid w:val="585338F8"/>
    <w:rsid w:val="585E3E88"/>
    <w:rsid w:val="58BE7724"/>
    <w:rsid w:val="58CB483C"/>
    <w:rsid w:val="58E41B62"/>
    <w:rsid w:val="590D65AA"/>
    <w:rsid w:val="59332F66"/>
    <w:rsid w:val="59762756"/>
    <w:rsid w:val="5A081CC5"/>
    <w:rsid w:val="5A20736C"/>
    <w:rsid w:val="5A5D394D"/>
    <w:rsid w:val="5A8E79A0"/>
    <w:rsid w:val="5ABA1AE9"/>
    <w:rsid w:val="5B8C403F"/>
    <w:rsid w:val="5BC709A1"/>
    <w:rsid w:val="5BDF3E49"/>
    <w:rsid w:val="5BF062E2"/>
    <w:rsid w:val="5C433B6E"/>
    <w:rsid w:val="5C4A34F9"/>
    <w:rsid w:val="5C6340A3"/>
    <w:rsid w:val="5C7020B3"/>
    <w:rsid w:val="5CA16106"/>
    <w:rsid w:val="5D230C5E"/>
    <w:rsid w:val="5D4A309B"/>
    <w:rsid w:val="5D54142D"/>
    <w:rsid w:val="5D620742"/>
    <w:rsid w:val="5D7E2271"/>
    <w:rsid w:val="5E122AE4"/>
    <w:rsid w:val="5EA0144F"/>
    <w:rsid w:val="60510E15"/>
    <w:rsid w:val="60661CB4"/>
    <w:rsid w:val="60B62D38"/>
    <w:rsid w:val="61457124"/>
    <w:rsid w:val="61DF3A9F"/>
    <w:rsid w:val="6210426E"/>
    <w:rsid w:val="62107AF1"/>
    <w:rsid w:val="62762D19"/>
    <w:rsid w:val="62793C9D"/>
    <w:rsid w:val="63095B0B"/>
    <w:rsid w:val="636F0D32"/>
    <w:rsid w:val="637067B4"/>
    <w:rsid w:val="63B2141C"/>
    <w:rsid w:val="63EC02FC"/>
    <w:rsid w:val="640C6632"/>
    <w:rsid w:val="644F5E22"/>
    <w:rsid w:val="65490238"/>
    <w:rsid w:val="65DC68AD"/>
    <w:rsid w:val="664D45E3"/>
    <w:rsid w:val="6695025A"/>
    <w:rsid w:val="66C258A6"/>
    <w:rsid w:val="673F2C72"/>
    <w:rsid w:val="679C300B"/>
    <w:rsid w:val="680571B7"/>
    <w:rsid w:val="687142E8"/>
    <w:rsid w:val="687B4BF8"/>
    <w:rsid w:val="68A128B9"/>
    <w:rsid w:val="68DA0494"/>
    <w:rsid w:val="69852B2B"/>
    <w:rsid w:val="6A254C33"/>
    <w:rsid w:val="6A6B1B24"/>
    <w:rsid w:val="6B402E01"/>
    <w:rsid w:val="6BD51213"/>
    <w:rsid w:val="6BE2620E"/>
    <w:rsid w:val="6BEC0D1C"/>
    <w:rsid w:val="6BFE7D3C"/>
    <w:rsid w:val="6C072BCA"/>
    <w:rsid w:val="6C14665D"/>
    <w:rsid w:val="6D167504"/>
    <w:rsid w:val="6D1D2712"/>
    <w:rsid w:val="6D282CA2"/>
    <w:rsid w:val="6D3C51C6"/>
    <w:rsid w:val="6D4425D2"/>
    <w:rsid w:val="6DF8337A"/>
    <w:rsid w:val="6E04718D"/>
    <w:rsid w:val="6E460EFB"/>
    <w:rsid w:val="6EBB0EBA"/>
    <w:rsid w:val="6F0F0944"/>
    <w:rsid w:val="6F483FA1"/>
    <w:rsid w:val="6F89280C"/>
    <w:rsid w:val="706E0500"/>
    <w:rsid w:val="712D2EBD"/>
    <w:rsid w:val="7185354B"/>
    <w:rsid w:val="71DB64D8"/>
    <w:rsid w:val="724A458E"/>
    <w:rsid w:val="72946F8C"/>
    <w:rsid w:val="73643DE1"/>
    <w:rsid w:val="73861D97"/>
    <w:rsid w:val="75091F13"/>
    <w:rsid w:val="75F21E91"/>
    <w:rsid w:val="76905212"/>
    <w:rsid w:val="76A032AE"/>
    <w:rsid w:val="771D60FB"/>
    <w:rsid w:val="77B030EB"/>
    <w:rsid w:val="77DE0738"/>
    <w:rsid w:val="780E3485"/>
    <w:rsid w:val="78C31CAF"/>
    <w:rsid w:val="78CD47BD"/>
    <w:rsid w:val="79C14150"/>
    <w:rsid w:val="7A9479AC"/>
    <w:rsid w:val="7AA9664C"/>
    <w:rsid w:val="7AF122C4"/>
    <w:rsid w:val="7B6D768F"/>
    <w:rsid w:val="7BEA6C58"/>
    <w:rsid w:val="7C2D09C7"/>
    <w:rsid w:val="7C944EF3"/>
    <w:rsid w:val="7D3E1B08"/>
    <w:rsid w:val="7DC70768"/>
    <w:rsid w:val="7E4B67C3"/>
    <w:rsid w:val="7E8C722C"/>
    <w:rsid w:val="7F831D43"/>
    <w:rsid w:val="7FC527AC"/>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qFormat="1"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unhideWhenUsed/>
    <w:qFormat/>
    <w:uiPriority w:val="9"/>
    <w:pPr>
      <w:keepNext/>
      <w:keepLines/>
      <w:spacing w:before="260" w:after="260" w:line="415" w:lineRule="auto"/>
      <w:outlineLvl w:val="1"/>
    </w:pPr>
    <w:rPr>
      <w:rFonts w:ascii="Arial" w:hAnsi="Arial" w:eastAsia="黑体"/>
      <w:b/>
      <w:sz w:val="32"/>
    </w:rPr>
  </w:style>
  <w:style w:type="character" w:default="1" w:styleId="9">
    <w:name w:val="Default Paragraph Font"/>
    <w:unhideWhenUsed/>
    <w:qFormat/>
    <w:uiPriority w:val="1"/>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2">
    <w:name w:val="Body Text Indent 2"/>
    <w:basedOn w:val="1"/>
    <w:next w:val="1"/>
    <w:unhideWhenUsed/>
    <w:qFormat/>
    <w:uiPriority w:val="99"/>
    <w:pPr>
      <w:ind w:firstLine="200" w:firstLineChars="200"/>
    </w:pPr>
    <w:rPr>
      <w:sz w:val="32"/>
      <w:szCs w:val="32"/>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Body Text First Indent 2"/>
    <w:basedOn w:val="1"/>
    <w:next w:val="1"/>
    <w:unhideWhenUsed/>
    <w:qFormat/>
    <w:uiPriority w:val="99"/>
    <w:pPr>
      <w:ind w:firstLine="420" w:firstLineChars="200"/>
    </w:p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8">
    <w:name w:val="Title"/>
    <w:basedOn w:val="1"/>
    <w:next w:val="1"/>
    <w:qFormat/>
    <w:uiPriority w:val="10"/>
    <w:pPr>
      <w:spacing w:before="240" w:after="60"/>
      <w:jc w:val="center"/>
      <w:outlineLvl w:val="0"/>
    </w:pPr>
    <w:rPr>
      <w:rFonts w:ascii="Cambria" w:hAnsi="Cambria"/>
      <w:b/>
      <w:bCs/>
      <w:sz w:val="32"/>
      <w:szCs w:val="32"/>
    </w:rPr>
  </w:style>
  <w:style w:type="character" w:styleId="10">
    <w:name w:val="Strong"/>
    <w:basedOn w:val="9"/>
    <w:qFormat/>
    <w:uiPriority w:val="22"/>
    <w:rPr>
      <w:b/>
    </w:rPr>
  </w:style>
  <w:style w:type="character" w:customStyle="1" w:styleId="12">
    <w:name w:val="页眉 Char"/>
    <w:basedOn w:val="9"/>
    <w:link w:val="6"/>
    <w:semiHidden/>
    <w:qFormat/>
    <w:uiPriority w:val="99"/>
    <w:rPr>
      <w:sz w:val="18"/>
      <w:szCs w:val="18"/>
    </w:rPr>
  </w:style>
  <w:style w:type="character" w:customStyle="1" w:styleId="13">
    <w:name w:val="页脚 Char"/>
    <w:basedOn w:val="9"/>
    <w:link w:val="4"/>
    <w:semiHidden/>
    <w:qFormat/>
    <w:uiPriority w:val="99"/>
    <w:rPr>
      <w:sz w:val="18"/>
      <w:szCs w:val="18"/>
    </w:rPr>
  </w:style>
  <w:style w:type="paragraph" w:customStyle="1" w:styleId="14">
    <w:name w:val="p0"/>
    <w:basedOn w:val="1"/>
    <w:qFormat/>
    <w:uiPriority w:val="0"/>
    <w:pPr>
      <w:widowControl/>
    </w:pPr>
    <w:rPr>
      <w:szCs w:val="21"/>
    </w:rPr>
  </w:style>
  <w:style w:type="character" w:customStyle="1" w:styleId="15">
    <w:name w:val="font01"/>
    <w:basedOn w:val="9"/>
    <w:qFormat/>
    <w:uiPriority w:val="0"/>
    <w:rPr>
      <w:rFonts w:ascii="font-weight : 400" w:hAnsi="font-weight : 400" w:eastAsia="font-weight : 400" w:cs="font-weight : 400"/>
      <w:color w:val="000000"/>
      <w:sz w:val="20"/>
      <w:szCs w:val="20"/>
      <w:u w:val="none"/>
    </w:rPr>
  </w:style>
  <w:style w:type="character" w:customStyle="1" w:styleId="16">
    <w:name w:val="font31"/>
    <w:basedOn w:val="9"/>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983</Words>
  <Characters>5608</Characters>
  <Lines>46</Lines>
  <Paragraphs>13</Paragraphs>
  <ScaleCrop>false</ScaleCrop>
  <LinksUpToDate>false</LinksUpToDate>
  <CharactersWithSpaces>6578</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2023-01-30T01:51:00Z</dcterms:created>
  <dc:creator>lenovo</dc:creator>
  <cp:lastModifiedBy>高畅</cp:lastModifiedBy>
  <dcterms:modified xsi:type="dcterms:W3CDTF">2025-02-24T08:15:57Z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ies>
</file>