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6379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color w:val="auto"/>
          <w:sz w:val="44"/>
          <w:szCs w:val="44"/>
          <w:u w:val="none"/>
          <w:shd w:val="clear" w:color="auto" w:fill="FFFFFF"/>
          <w:lang w:val="en-US" w:eastAsia="zh-CN"/>
        </w:rPr>
      </w:pPr>
      <w:bookmarkStart w:id="0" w:name="_GoBack"/>
      <w:r>
        <w:rPr>
          <w:rFonts w:hint="eastAsia" w:ascii="Times New Roman" w:hAnsi="Times New Roman" w:eastAsia="方正小标宋简体" w:cs="Times New Roman"/>
          <w:b w:val="0"/>
          <w:bCs/>
          <w:color w:val="auto"/>
          <w:sz w:val="44"/>
          <w:szCs w:val="44"/>
          <w:u w:val="none"/>
          <w:shd w:val="clear" w:color="auto" w:fill="FFFFFF"/>
          <w:lang w:val="en-US" w:eastAsia="zh-CN"/>
        </w:rPr>
        <w:t>关于《关于推进服务业扩能提质的实施方案（征求意见稿）》的起草说明</w:t>
      </w:r>
      <w:bookmarkEnd w:id="0"/>
    </w:p>
    <w:p w14:paraId="3700A2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楷体_GB2312" w:hAnsi="楷体_GB2312" w:eastAsia="楷体_GB2312" w:cs="楷体_GB2312"/>
          <w:b w:val="0"/>
          <w:bCs/>
          <w:color w:val="auto"/>
          <w:sz w:val="32"/>
          <w:szCs w:val="32"/>
          <w:u w:val="none"/>
          <w:shd w:val="clear" w:color="auto" w:fill="FFFFFF"/>
          <w:lang w:val="en-US" w:eastAsia="zh-CN"/>
        </w:rPr>
      </w:pPr>
    </w:p>
    <w:p w14:paraId="4771724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b w:val="0"/>
          <w:bCs/>
          <w:color w:val="auto"/>
          <w:sz w:val="32"/>
          <w:szCs w:val="32"/>
          <w:u w:val="none"/>
          <w:shd w:val="clear" w:color="auto" w:fill="FFFFFF"/>
          <w:lang w:val="en-US" w:eastAsia="zh-CN"/>
        </w:rPr>
      </w:pPr>
      <w:r>
        <w:rPr>
          <w:rFonts w:hint="eastAsia" w:ascii="黑体" w:hAnsi="黑体" w:eastAsia="黑体" w:cs="黑体"/>
          <w:b w:val="0"/>
          <w:bCs/>
          <w:color w:val="auto"/>
          <w:sz w:val="32"/>
          <w:szCs w:val="32"/>
          <w:u w:val="none"/>
          <w:shd w:val="clear" w:color="auto" w:fill="FFFFFF"/>
          <w:lang w:val="en-US" w:eastAsia="zh-CN"/>
        </w:rPr>
        <w:t>一、背景依据及起草过程</w:t>
      </w:r>
    </w:p>
    <w:p w14:paraId="6A3FA06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color w:val="auto"/>
          <w:sz w:val="32"/>
          <w:szCs w:val="32"/>
          <w:u w:val="none"/>
          <w:shd w:val="clear" w:color="auto" w:fill="FFFFFF"/>
          <w:lang w:val="en-US" w:eastAsia="zh-CN"/>
        </w:rPr>
      </w:pPr>
      <w:r>
        <w:rPr>
          <w:rFonts w:hint="eastAsia" w:ascii="仿宋_GB2312" w:hAnsi="仿宋_GB2312" w:eastAsia="仿宋_GB2312" w:cs="仿宋_GB2312"/>
          <w:b w:val="0"/>
          <w:bCs/>
          <w:color w:val="auto"/>
          <w:sz w:val="32"/>
          <w:szCs w:val="32"/>
          <w:u w:val="none"/>
          <w:shd w:val="clear" w:color="auto" w:fill="FFFFFF"/>
          <w:lang w:val="en-US" w:eastAsia="zh-CN"/>
        </w:rPr>
        <w:t>国家“十五五”规划纲要提出服务业扩能提质行动。习近平总书记就服务业发展作出重要指示，强调“新征程上，要坚持以新时代中国特色社会主义思想为指导，完整准确全面贯彻新发展理念，突出需求牵引、改革攻坚、科技赋能、开放合作，深入实施服务业扩能提质行动”。</w:t>
      </w:r>
      <w:r>
        <w:rPr>
          <w:rFonts w:hint="default" w:ascii="Times New Roman" w:hAnsi="Times New Roman" w:eastAsia="仿宋_GB2312" w:cs="Times New Roman"/>
          <w:b w:val="0"/>
          <w:bCs/>
          <w:color w:val="auto"/>
          <w:sz w:val="32"/>
          <w:szCs w:val="32"/>
          <w:u w:val="none"/>
          <w:shd w:val="clear" w:color="auto" w:fill="FFFFFF"/>
          <w:lang w:val="en-US" w:eastAsia="zh-CN"/>
        </w:rPr>
        <w:t>2026年4月</w:t>
      </w:r>
      <w:r>
        <w:rPr>
          <w:rFonts w:hint="eastAsia" w:ascii="仿宋_GB2312" w:hAnsi="仿宋_GB2312" w:eastAsia="仿宋_GB2312" w:cs="仿宋_GB2312"/>
          <w:b w:val="0"/>
          <w:bCs/>
          <w:color w:val="auto"/>
          <w:sz w:val="32"/>
          <w:szCs w:val="32"/>
          <w:u w:val="none"/>
          <w:shd w:val="clear" w:color="auto" w:fill="FFFFFF"/>
          <w:lang w:val="en-US" w:eastAsia="zh-CN"/>
        </w:rPr>
        <w:t>全国服务业大会召开，国务院印发《关于推进服务业扩能提质的意见》，就服务业扩能提质发展作出系统部署。</w:t>
      </w:r>
    </w:p>
    <w:p w14:paraId="78A7C94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u w:val="none"/>
          <w:lang w:val="en-US" w:eastAsia="zh-CN"/>
        </w:rPr>
      </w:pPr>
      <w:r>
        <w:rPr>
          <w:rFonts w:hint="eastAsia" w:ascii="仿宋_GB2312" w:hAnsi="仿宋_GB2312" w:eastAsia="仿宋_GB2312" w:cs="仿宋_GB2312"/>
          <w:b w:val="0"/>
          <w:bCs/>
          <w:color w:val="auto"/>
          <w:sz w:val="32"/>
          <w:szCs w:val="32"/>
          <w:u w:val="none"/>
          <w:shd w:val="clear" w:color="auto" w:fill="FFFFFF"/>
          <w:lang w:val="en-US" w:eastAsia="zh-CN"/>
        </w:rPr>
        <w:t>为贯彻习近平总书记关于服务业发展的重要指示和全国服务业大会精神，落实</w:t>
      </w:r>
      <w:r>
        <w:rPr>
          <w:rFonts w:hint="eastAsia" w:ascii="Times New Roman Regular" w:hAnsi="Times New Roman Regular" w:eastAsia="仿宋_GB2312" w:cs="Times New Roman Regular"/>
          <w:color w:val="auto"/>
          <w:sz w:val="32"/>
          <w:szCs w:val="32"/>
          <w:u w:val="none"/>
          <w:lang w:val="en-US" w:eastAsia="zh-CN"/>
        </w:rPr>
        <w:t>国务院《关于推进服务业扩能提质的意见》、</w:t>
      </w:r>
      <w:r>
        <w:rPr>
          <w:rFonts w:hint="default" w:ascii="Times New Roman Regular" w:hAnsi="Times New Roman Regular" w:eastAsia="仿宋_GB2312" w:cs="Times New Roman Regular"/>
          <w:b w:val="0"/>
          <w:bCs/>
          <w:color w:val="auto"/>
          <w:sz w:val="32"/>
          <w:szCs w:val="32"/>
          <w:u w:val="none"/>
          <w:shd w:val="clear" w:color="auto" w:fill="FFFFFF"/>
          <w:lang w:val="en-US" w:eastAsia="zh-CN"/>
        </w:rPr>
        <w:t>省发展改革委《关于推进服务业扩能提质的实施意见》</w:t>
      </w:r>
      <w:r>
        <w:rPr>
          <w:rFonts w:hint="eastAsia" w:ascii="Times New Roman Regular" w:hAnsi="Times New Roman Regular" w:eastAsia="仿宋_GB2312" w:cs="Times New Roman Regular"/>
          <w:b w:val="0"/>
          <w:bCs/>
          <w:color w:val="auto"/>
          <w:sz w:val="32"/>
          <w:szCs w:val="32"/>
          <w:u w:val="none"/>
          <w:shd w:val="clear" w:color="auto" w:fill="FFFFFF"/>
          <w:lang w:val="en-US" w:eastAsia="zh-CN"/>
        </w:rPr>
        <w:t>，推动国家及省各项部署在我市落地见效，</w:t>
      </w:r>
      <w:r>
        <w:rPr>
          <w:rFonts w:hint="eastAsia" w:ascii="仿宋_GB2312" w:hAnsi="仿宋_GB2312" w:eastAsia="仿宋_GB2312" w:cs="仿宋_GB2312"/>
          <w:b w:val="0"/>
          <w:bCs/>
          <w:color w:val="auto"/>
          <w:sz w:val="32"/>
          <w:szCs w:val="32"/>
          <w:u w:val="none"/>
          <w:shd w:val="clear" w:color="auto" w:fill="FFFFFF"/>
          <w:lang w:val="en-US" w:eastAsia="zh-CN"/>
        </w:rPr>
        <w:t>市发展改革委牵头起草了</w:t>
      </w:r>
      <w:r>
        <w:rPr>
          <w:rFonts w:hint="eastAsia" w:ascii="Times New Roman" w:hAnsi="Times New Roman" w:eastAsia="仿宋_GB2312" w:cs="Times New Roman"/>
          <w:color w:val="auto"/>
          <w:sz w:val="32"/>
          <w:szCs w:val="32"/>
          <w:u w:val="none"/>
          <w:lang w:val="en-US" w:eastAsia="zh-CN"/>
        </w:rPr>
        <w:t>《关于推进服务业扩能提质的实施方案（征求意见稿）》</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已征求各有关单位意见，并经专家论证、风险评估、合法性审查、公平竞争审查、宏观政策取向一致性评估等程序，最终形成《关于推进服务业扩能提质的实施方案（送审稿）》（</w:t>
      </w:r>
      <w:r>
        <w:rPr>
          <w:rFonts w:hint="eastAsia" w:ascii="楷体_GB2312" w:hAnsi="楷体_GB2312" w:eastAsia="楷体_GB2312" w:cs="楷体_GB2312"/>
          <w:color w:val="auto"/>
          <w:sz w:val="32"/>
          <w:szCs w:val="32"/>
          <w:u w:val="none"/>
          <w:lang w:val="en-US" w:eastAsia="zh-CN"/>
        </w:rPr>
        <w:t>以下简称《实施方案》</w:t>
      </w:r>
      <w:r>
        <w:rPr>
          <w:rFonts w:hint="eastAsia" w:ascii="Times New Roman" w:hAnsi="Times New Roman" w:eastAsia="仿宋_GB2312" w:cs="Times New Roman"/>
          <w:color w:val="auto"/>
          <w:sz w:val="32"/>
          <w:szCs w:val="32"/>
          <w:u w:val="none"/>
          <w:lang w:val="en-US" w:eastAsia="zh-CN"/>
        </w:rPr>
        <w:t>）。</w:t>
      </w:r>
    </w:p>
    <w:p w14:paraId="4857A98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黑体" w:hAnsi="黑体" w:eastAsia="黑体" w:cs="黑体"/>
          <w:b w:val="0"/>
          <w:bCs/>
          <w:color w:val="auto"/>
          <w:sz w:val="32"/>
          <w:szCs w:val="32"/>
          <w:u w:val="none"/>
          <w:shd w:val="clear" w:color="auto" w:fill="FFFFFF"/>
          <w:lang w:val="en-US" w:eastAsia="zh-CN"/>
        </w:rPr>
      </w:pPr>
      <w:r>
        <w:rPr>
          <w:rFonts w:hint="eastAsia" w:ascii="黑体" w:hAnsi="黑体" w:eastAsia="黑体" w:cs="黑体"/>
          <w:b w:val="0"/>
          <w:bCs/>
          <w:color w:val="auto"/>
          <w:sz w:val="32"/>
          <w:szCs w:val="32"/>
          <w:u w:val="none"/>
          <w:shd w:val="clear" w:color="auto" w:fill="FFFFFF"/>
          <w:lang w:val="en-US" w:eastAsia="zh-CN"/>
        </w:rPr>
        <w:t>二、主要内容</w:t>
      </w:r>
    </w:p>
    <w:p w14:paraId="7000A0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0"/>
          <w:sz w:val="32"/>
          <w:szCs w:val="32"/>
          <w:u w:val="none"/>
          <w:lang w:val="en-US" w:eastAsia="zh-CN" w:bidi="ar-SA"/>
        </w:rPr>
      </w:pPr>
      <w:r>
        <w:rPr>
          <w:rFonts w:hint="eastAsia" w:ascii="Times New Roman" w:hAnsi="Times New Roman" w:eastAsia="仿宋_GB2312" w:cs="Times New Roman"/>
          <w:color w:val="auto"/>
          <w:kern w:val="0"/>
          <w:sz w:val="32"/>
          <w:szCs w:val="32"/>
          <w:u w:val="none"/>
          <w:lang w:val="en-US" w:eastAsia="zh-CN" w:bidi="ar-SA"/>
        </w:rPr>
        <w:t>《实施方案（征求意见稿）》共分为五个部分，主要包括19项工作举措。</w:t>
      </w:r>
    </w:p>
    <w:p w14:paraId="5B7F099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b/>
          <w:bCs/>
          <w:color w:val="auto"/>
          <w:sz w:val="32"/>
          <w:szCs w:val="32"/>
          <w:u w:val="none"/>
          <w:lang w:val="en-US" w:eastAsia="zh-CN"/>
        </w:rPr>
        <w:t>第一部分是聚力补齐生产性服务业短板。</w:t>
      </w:r>
      <w:r>
        <w:rPr>
          <w:rFonts w:hint="eastAsia" w:ascii="Times New Roman" w:hAnsi="Times New Roman" w:eastAsia="仿宋_GB2312" w:cs="Times New Roman"/>
          <w:color w:val="auto"/>
          <w:sz w:val="32"/>
          <w:szCs w:val="32"/>
          <w:u w:val="none"/>
          <w:lang w:val="en-US" w:eastAsia="zh-CN"/>
        </w:rPr>
        <w:t>主要包括6个方面。</w:t>
      </w:r>
      <w:r>
        <w:rPr>
          <w:rFonts w:hint="eastAsia" w:ascii="Times New Roman" w:hAnsi="Times New Roman" w:eastAsia="仿宋_GB2312" w:cs="Times New Roman"/>
          <w:b/>
          <w:bCs/>
          <w:color w:val="auto"/>
          <w:sz w:val="32"/>
          <w:szCs w:val="32"/>
          <w:u w:val="none"/>
          <w:lang w:val="en-US" w:eastAsia="zh-CN"/>
        </w:rPr>
        <w:t>一是强化科创赋能引领。</w:t>
      </w:r>
      <w:r>
        <w:rPr>
          <w:rFonts w:hint="eastAsia" w:ascii="Times New Roman" w:hAnsi="Times New Roman" w:eastAsia="仿宋_GB2312" w:cs="Times New Roman"/>
          <w:color w:val="auto"/>
          <w:sz w:val="32"/>
          <w:szCs w:val="32"/>
          <w:u w:val="none"/>
          <w:lang w:val="en-US" w:eastAsia="zh-CN"/>
        </w:rPr>
        <w:t>到2030年，省级以上研发平台达150家。实施科技成果转化项目2000项，建成科技企业孵化器10家以上。</w:t>
      </w:r>
      <w:r>
        <w:rPr>
          <w:rFonts w:hint="eastAsia" w:ascii="Times New Roman" w:hAnsi="Times New Roman" w:eastAsia="仿宋_GB2312" w:cs="Times New Roman"/>
          <w:b/>
          <w:bCs/>
          <w:color w:val="auto"/>
          <w:sz w:val="32"/>
          <w:szCs w:val="32"/>
          <w:u w:val="none"/>
          <w:lang w:val="en-US" w:eastAsia="zh-CN"/>
        </w:rPr>
        <w:t>二是推动现代物流降本增效。</w:t>
      </w:r>
      <w:r>
        <w:rPr>
          <w:rFonts w:hint="eastAsia" w:ascii="Times New Roman" w:hAnsi="Times New Roman" w:eastAsia="仿宋_GB2312" w:cs="Times New Roman"/>
          <w:color w:val="auto"/>
          <w:sz w:val="32"/>
          <w:szCs w:val="32"/>
          <w:u w:val="none"/>
          <w:lang w:val="en-US" w:eastAsia="zh-CN"/>
        </w:rPr>
        <w:t>完善孙疃港专业化多式联运设施，加快淮北市青龙山智慧国际物流港、浍河航道二期建设。支持即时物流、云仓等共享物流模式发展。探索“产业集群+物流枢纽”协同发展模式。</w:t>
      </w:r>
      <w:r>
        <w:rPr>
          <w:rFonts w:hint="eastAsia" w:ascii="Times New Roman" w:hAnsi="Times New Roman" w:eastAsia="仿宋_GB2312" w:cs="Times New Roman"/>
          <w:b/>
          <w:bCs/>
          <w:color w:val="auto"/>
          <w:sz w:val="32"/>
          <w:szCs w:val="32"/>
          <w:u w:val="none"/>
          <w:lang w:val="en-US" w:eastAsia="zh-CN"/>
        </w:rPr>
        <w:t>三是提升现代金融服务质效。</w:t>
      </w:r>
      <w:r>
        <w:rPr>
          <w:rFonts w:hint="eastAsia" w:ascii="Times New Roman" w:hAnsi="Times New Roman" w:eastAsia="仿宋_GB2312" w:cs="Times New Roman"/>
          <w:color w:val="auto"/>
          <w:sz w:val="32"/>
          <w:szCs w:val="32"/>
          <w:u w:val="none"/>
          <w:lang w:val="en-US" w:eastAsia="zh-CN"/>
        </w:rPr>
        <w:t>加大与省级基金、社会资本合作力度，引导更多金融资源投向科技服务、检验检测、节能环保等轻资产生产性服务企业。</w:t>
      </w:r>
      <w:r>
        <w:rPr>
          <w:rFonts w:hint="eastAsia" w:ascii="Times New Roman" w:hAnsi="Times New Roman" w:eastAsia="仿宋_GB2312" w:cs="Times New Roman"/>
          <w:b/>
          <w:bCs/>
          <w:color w:val="auto"/>
          <w:sz w:val="32"/>
          <w:szCs w:val="32"/>
          <w:u w:val="none"/>
          <w:lang w:val="en-US" w:eastAsia="zh-CN"/>
        </w:rPr>
        <w:t>四是促进商务服务扩容升级。</w:t>
      </w:r>
      <w:r>
        <w:rPr>
          <w:rFonts w:hint="eastAsia" w:ascii="Times New Roman" w:hAnsi="Times New Roman" w:eastAsia="仿宋_GB2312" w:cs="Times New Roman"/>
          <w:color w:val="auto"/>
          <w:sz w:val="32"/>
          <w:szCs w:val="32"/>
          <w:u w:val="none"/>
          <w:lang w:val="en-US" w:eastAsia="zh-CN"/>
        </w:rPr>
        <w:t>加快综合式淮北公共法律服务中心建设，培育一批规模化的综合性律师事务所。鼓励建立与产业发展相适应的中高端人力资源服务体系。</w:t>
      </w:r>
      <w:r>
        <w:rPr>
          <w:rFonts w:hint="eastAsia" w:ascii="Times New Roman" w:hAnsi="Times New Roman" w:eastAsia="仿宋_GB2312" w:cs="Times New Roman"/>
          <w:b w:val="0"/>
          <w:bCs w:val="0"/>
          <w:color w:val="auto"/>
          <w:kern w:val="0"/>
          <w:sz w:val="32"/>
          <w:szCs w:val="32"/>
          <w:highlight w:val="none"/>
          <w:u w:val="none"/>
          <w:lang w:val="en-US" w:eastAsia="zh-CN" w:bidi="ar-SA"/>
        </w:rPr>
        <w:t>大力发展直播电商和跨境电商。</w:t>
      </w:r>
      <w:r>
        <w:rPr>
          <w:rFonts w:hint="eastAsia" w:ascii="Times New Roman" w:hAnsi="Times New Roman" w:eastAsia="仿宋_GB2312" w:cs="Times New Roman"/>
          <w:b/>
          <w:bCs/>
          <w:color w:val="auto"/>
          <w:sz w:val="32"/>
          <w:szCs w:val="32"/>
          <w:u w:val="none"/>
          <w:lang w:val="en-US" w:eastAsia="zh-CN"/>
        </w:rPr>
        <w:t>五是做优做强软件信息服务。</w:t>
      </w:r>
      <w:r>
        <w:rPr>
          <w:rFonts w:hint="eastAsia" w:ascii="Times New Roman" w:hAnsi="Times New Roman" w:eastAsia="仿宋_GB2312" w:cs="Times New Roman"/>
          <w:color w:val="auto"/>
          <w:kern w:val="0"/>
          <w:sz w:val="32"/>
          <w:szCs w:val="32"/>
          <w:u w:val="none"/>
          <w:lang w:val="en-US" w:eastAsia="zh-CN" w:bidi="ar-SA"/>
        </w:rPr>
        <w:t>推动人工智能融合应用。</w:t>
      </w:r>
      <w:r>
        <w:rPr>
          <w:rFonts w:hint="eastAsia" w:ascii="Times New Roman" w:hAnsi="Times New Roman" w:eastAsia="仿宋_GB2312" w:cs="Times New Roman"/>
          <w:color w:val="auto"/>
          <w:sz w:val="32"/>
          <w:szCs w:val="32"/>
          <w:u w:val="none"/>
          <w:lang w:val="en-US" w:eastAsia="zh-CN"/>
        </w:rPr>
        <w:t>加快建设特色</w:t>
      </w:r>
      <w:r>
        <w:rPr>
          <w:rFonts w:hint="default" w:ascii="Times New Roman" w:hAnsi="Times New Roman" w:eastAsia="仿宋_GB2312" w:cs="Times New Roman"/>
          <w:color w:val="auto"/>
          <w:sz w:val="32"/>
          <w:szCs w:val="32"/>
          <w:u w:val="none"/>
          <w:lang w:val="en-US" w:eastAsia="zh-CN"/>
        </w:rPr>
        <w:t>软件产业</w:t>
      </w:r>
      <w:r>
        <w:rPr>
          <w:rFonts w:hint="eastAsia" w:ascii="Times New Roman" w:hAnsi="Times New Roman" w:eastAsia="仿宋_GB2312" w:cs="Times New Roman"/>
          <w:color w:val="auto"/>
          <w:sz w:val="32"/>
          <w:szCs w:val="32"/>
          <w:u w:val="none"/>
          <w:lang w:val="en-US" w:eastAsia="zh-CN"/>
        </w:rPr>
        <w:t>园</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完善市软件产业园、易创软件产业园功能配套。深入实施“信号升格”专项行动。持续强化淮北市数据产业园功能。</w:t>
      </w:r>
      <w:r>
        <w:rPr>
          <w:rFonts w:hint="eastAsia" w:ascii="Times New Roman" w:hAnsi="Times New Roman" w:eastAsia="仿宋_GB2312" w:cs="Times New Roman"/>
          <w:b/>
          <w:bCs/>
          <w:color w:val="auto"/>
          <w:sz w:val="32"/>
          <w:szCs w:val="32"/>
          <w:u w:val="none"/>
          <w:lang w:val="en-US" w:eastAsia="zh-CN"/>
        </w:rPr>
        <w:t>六是拓展节能环保多元业态。</w:t>
      </w:r>
      <w:r>
        <w:rPr>
          <w:rFonts w:hint="eastAsia" w:ascii="Times New Roman" w:hAnsi="Times New Roman" w:eastAsia="仿宋_GB2312" w:cs="Times New Roman"/>
          <w:color w:val="auto"/>
          <w:sz w:val="32"/>
          <w:szCs w:val="32"/>
          <w:u w:val="none"/>
          <w:lang w:val="en-US" w:eastAsia="zh-CN"/>
        </w:rPr>
        <w:t>实施“节能降碳服务进企业”行动，</w:t>
      </w:r>
      <w:r>
        <w:rPr>
          <w:rFonts w:hint="default" w:ascii="仿宋_GB2312" w:hAnsi="仿宋_GB2312" w:eastAsia="仿宋_GB2312" w:cs="仿宋_GB2312"/>
          <w:color w:val="auto"/>
          <w:kern w:val="0"/>
          <w:sz w:val="31"/>
          <w:szCs w:val="31"/>
          <w:u w:val="none"/>
          <w:lang w:val="en-US" w:eastAsia="zh-CN" w:bidi="ar"/>
        </w:rPr>
        <w:t>布局“碳资产管理与服</w:t>
      </w:r>
      <w:r>
        <w:rPr>
          <w:rFonts w:hint="default" w:ascii="Times New Roman" w:hAnsi="Times New Roman" w:eastAsia="仿宋_GB2312" w:cs="Times New Roman"/>
          <w:color w:val="auto"/>
          <w:sz w:val="32"/>
          <w:szCs w:val="32"/>
          <w:u w:val="none"/>
          <w:lang w:val="en-US" w:eastAsia="zh-CN"/>
        </w:rPr>
        <w:t>务”</w:t>
      </w:r>
      <w:r>
        <w:rPr>
          <w:rFonts w:hint="eastAsia" w:ascii="Times New Roman" w:hAnsi="Times New Roman" w:eastAsia="仿宋_GB2312" w:cs="Times New Roman"/>
          <w:color w:val="auto"/>
          <w:sz w:val="32"/>
          <w:szCs w:val="32"/>
          <w:u w:val="none"/>
          <w:lang w:val="en-US" w:eastAsia="zh-CN"/>
        </w:rPr>
        <w:t>。加快搭建回收利用体系。推广环保管家、园区环境污染第三方治理、绿色产品认证等新兴服务模式。</w:t>
      </w:r>
    </w:p>
    <w:p w14:paraId="001AF0D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仿宋_GB2312" w:hAnsi="仿宋_GB2312" w:eastAsia="仿宋_GB2312" w:cs="仿宋_GB2312"/>
          <w:b w:val="0"/>
          <w:bCs w:val="0"/>
          <w:color w:val="auto"/>
          <w:sz w:val="32"/>
          <w:szCs w:val="32"/>
          <w:u w:val="none"/>
          <w:lang w:val="en-US" w:eastAsia="zh-CN"/>
        </w:rPr>
      </w:pPr>
      <w:r>
        <w:rPr>
          <w:rFonts w:hint="eastAsia" w:ascii="Times New Roman" w:hAnsi="Times New Roman" w:eastAsia="仿宋_GB2312" w:cs="Times New Roman"/>
          <w:b/>
          <w:bCs/>
          <w:color w:val="auto"/>
          <w:sz w:val="32"/>
          <w:szCs w:val="32"/>
          <w:u w:val="none"/>
          <w:lang w:val="en-US" w:eastAsia="zh-CN"/>
        </w:rPr>
        <w:t>第二部分是加快提升生活性服务业品质。</w:t>
      </w:r>
      <w:r>
        <w:rPr>
          <w:rFonts w:hint="eastAsia" w:ascii="Times New Roman" w:hAnsi="Times New Roman" w:eastAsia="仿宋_GB2312" w:cs="Times New Roman"/>
          <w:color w:val="auto"/>
          <w:sz w:val="32"/>
          <w:szCs w:val="32"/>
          <w:u w:val="none"/>
          <w:lang w:val="en-US" w:eastAsia="zh-CN"/>
        </w:rPr>
        <w:t>主要包括4个方面。</w:t>
      </w:r>
      <w:r>
        <w:rPr>
          <w:rFonts w:hint="eastAsia" w:ascii="Times New Roman" w:hAnsi="Times New Roman" w:eastAsia="仿宋_GB2312" w:cs="Times New Roman"/>
          <w:b/>
          <w:bCs/>
          <w:color w:val="auto"/>
          <w:sz w:val="32"/>
          <w:szCs w:val="32"/>
          <w:u w:val="none"/>
          <w:lang w:val="en-US" w:eastAsia="zh-CN"/>
        </w:rPr>
        <w:t>一是提升文旅服务能级。</w:t>
      </w:r>
      <w:r>
        <w:rPr>
          <w:rFonts w:hint="eastAsia" w:ascii="Times New Roman" w:hAnsi="Times New Roman" w:eastAsia="仿宋_GB2312" w:cs="Times New Roman"/>
          <w:color w:val="auto"/>
          <w:sz w:val="32"/>
          <w:szCs w:val="32"/>
          <w:u w:val="none"/>
          <w:lang w:val="en-US" w:eastAsia="zh-CN"/>
        </w:rPr>
        <w:t>实施旅游景区质量提升行动，支持南山创建国家4A级景区，创建一批3A级旅游景区。打造一批淮北文化主题的纪录片、微短剧等影视作品。系统实施“煤城记忆”工业遗产保护利用工程。</w:t>
      </w:r>
      <w:r>
        <w:rPr>
          <w:rFonts w:hint="eastAsia" w:ascii="Times New Roman" w:hAnsi="Times New Roman" w:eastAsia="仿宋_GB2312" w:cs="Times New Roman"/>
          <w:b/>
          <w:bCs/>
          <w:color w:val="auto"/>
          <w:sz w:val="32"/>
          <w:szCs w:val="32"/>
          <w:u w:val="none"/>
          <w:lang w:val="en-US" w:eastAsia="zh-CN"/>
        </w:rPr>
        <w:t>二是加快会展赛事服务发展。</w:t>
      </w:r>
      <w:r>
        <w:rPr>
          <w:rFonts w:hint="eastAsia" w:ascii="Times New Roman" w:hAnsi="Times New Roman" w:eastAsia="仿宋_GB2312" w:cs="Times New Roman"/>
          <w:color w:val="auto"/>
          <w:sz w:val="32"/>
          <w:szCs w:val="32"/>
          <w:u w:val="none"/>
          <w:lang w:val="en-US" w:eastAsia="zh-CN"/>
        </w:rPr>
        <w:t>深化“会展+”产业融合模式，精准开展产业对接、产销联动活动。打造“淮字号”赛事矩阵。探索引入电摩耐力赛、机车爬坡赛等高端品牌赛事。</w:t>
      </w:r>
      <w:r>
        <w:rPr>
          <w:rFonts w:hint="eastAsia" w:ascii="Times New Roman" w:hAnsi="Times New Roman" w:eastAsia="仿宋_GB2312" w:cs="Times New Roman"/>
          <w:b/>
          <w:bCs/>
          <w:color w:val="auto"/>
          <w:sz w:val="32"/>
          <w:szCs w:val="32"/>
          <w:u w:val="none"/>
          <w:lang w:val="en-US" w:eastAsia="zh-CN"/>
        </w:rPr>
        <w:t>三是推动居民服务便利可及。</w:t>
      </w:r>
      <w:r>
        <w:rPr>
          <w:rFonts w:hint="eastAsia" w:ascii="仿宋" w:hAnsi="仿宋" w:eastAsia="仿宋" w:cs="仿宋"/>
          <w:color w:val="auto"/>
          <w:kern w:val="0"/>
          <w:sz w:val="31"/>
          <w:szCs w:val="31"/>
          <w:u w:val="none"/>
          <w:lang w:val="en-US" w:eastAsia="zh-CN" w:bidi="ar"/>
        </w:rPr>
        <w:t>推进“N+养老”模式，着力构建</w:t>
      </w:r>
      <w:r>
        <w:rPr>
          <w:rFonts w:hint="eastAsia" w:ascii="Times New Roman" w:hAnsi="Times New Roman" w:eastAsia="仿宋_GB2312" w:cs="Times New Roman"/>
          <w:color w:val="auto"/>
          <w:kern w:val="0"/>
          <w:sz w:val="32"/>
          <w:szCs w:val="32"/>
          <w:u w:val="none"/>
          <w:lang w:val="en-US" w:eastAsia="zh-CN" w:bidi="ar-SA"/>
        </w:rPr>
        <w:t>“15分钟养老服务圈”</w:t>
      </w:r>
      <w:r>
        <w:rPr>
          <w:rFonts w:hint="eastAsia" w:ascii="仿宋" w:hAnsi="仿宋" w:eastAsia="仿宋" w:cs="仿宋"/>
          <w:color w:val="auto"/>
          <w:kern w:val="0"/>
          <w:sz w:val="31"/>
          <w:szCs w:val="31"/>
          <w:u w:val="none"/>
          <w:lang w:val="en-US" w:eastAsia="zh-CN" w:bidi="ar"/>
        </w:rPr>
        <w:t>。</w:t>
      </w:r>
      <w:r>
        <w:rPr>
          <w:rFonts w:hint="eastAsia" w:ascii="仿宋_GB2312" w:hAnsi="仿宋_GB2312" w:eastAsia="仿宋_GB2312" w:cs="仿宋_GB2312"/>
          <w:b w:val="0"/>
          <w:bCs w:val="0"/>
          <w:color w:val="auto"/>
          <w:sz w:val="32"/>
          <w:szCs w:val="32"/>
          <w:u w:val="none"/>
          <w:lang w:val="en-US" w:eastAsia="zh-CN"/>
        </w:rPr>
        <w:t>加快建设托育综合服务中心。加快智慧医疗场景建设和医养康养业态培育。加快家政物业规范发展。</w:t>
      </w:r>
      <w:r>
        <w:rPr>
          <w:rFonts w:hint="eastAsia" w:ascii="Times New Roman" w:hAnsi="Times New Roman" w:eastAsia="仿宋_GB2312" w:cs="Times New Roman"/>
          <w:b/>
          <w:bCs/>
          <w:color w:val="auto"/>
          <w:sz w:val="32"/>
          <w:szCs w:val="32"/>
          <w:u w:val="none"/>
          <w:lang w:val="en-US" w:eastAsia="zh-CN"/>
        </w:rPr>
        <w:t>四是促进现代商贸创新提质。</w:t>
      </w:r>
      <w:r>
        <w:rPr>
          <w:rFonts w:hint="eastAsia" w:ascii="仿宋_GB2312" w:hAnsi="仿宋_GB2312" w:eastAsia="仿宋_GB2312" w:cs="仿宋_GB2312"/>
          <w:b w:val="0"/>
          <w:bCs w:val="0"/>
          <w:color w:val="auto"/>
          <w:sz w:val="32"/>
          <w:szCs w:val="32"/>
          <w:u w:val="none"/>
          <w:lang w:val="en-US" w:eastAsia="zh-CN"/>
        </w:rPr>
        <w:t>支持创建高星级旅游饭店，培育特色民宿集群。支持打造淮北特色餐饮IP，培育“淮北美食地图”品牌。大力发展即时零售、无人零售、社区电商等新业态。打造“湖上淮北”等系列具有辨识度的夜游消费IP。抢抓“它经济”新风口。</w:t>
      </w:r>
    </w:p>
    <w:p w14:paraId="7E29DC5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b/>
          <w:bCs/>
          <w:color w:val="auto"/>
          <w:sz w:val="32"/>
          <w:szCs w:val="32"/>
          <w:u w:val="none"/>
          <w:lang w:val="en-US" w:eastAsia="zh-CN"/>
        </w:rPr>
        <w:t>第三部分是加快服务业数智赋能升级。</w:t>
      </w:r>
      <w:r>
        <w:rPr>
          <w:rFonts w:hint="eastAsia" w:ascii="Times New Roman" w:hAnsi="Times New Roman" w:eastAsia="仿宋_GB2312" w:cs="Times New Roman"/>
          <w:color w:val="auto"/>
          <w:sz w:val="32"/>
          <w:szCs w:val="32"/>
          <w:u w:val="none"/>
          <w:lang w:val="en-US" w:eastAsia="zh-CN"/>
        </w:rPr>
        <w:t>主要包括4个方面。</w:t>
      </w:r>
      <w:r>
        <w:rPr>
          <w:rFonts w:hint="eastAsia" w:ascii="Times New Roman" w:hAnsi="Times New Roman" w:eastAsia="仿宋_GB2312" w:cs="Times New Roman"/>
          <w:b/>
          <w:bCs/>
          <w:color w:val="auto"/>
          <w:sz w:val="32"/>
          <w:szCs w:val="32"/>
          <w:u w:val="none"/>
          <w:lang w:val="en-US" w:eastAsia="zh-CN"/>
        </w:rPr>
        <w:t>一是打造数智化平台。</w:t>
      </w:r>
      <w:r>
        <w:rPr>
          <w:rFonts w:hint="eastAsia" w:ascii="Times New Roman" w:hAnsi="Times New Roman" w:eastAsia="仿宋_GB2312" w:cs="Times New Roman"/>
          <w:color w:val="auto"/>
          <w:sz w:val="32"/>
          <w:szCs w:val="32"/>
          <w:u w:val="none"/>
          <w:lang w:val="en-US" w:eastAsia="zh-CN"/>
        </w:rPr>
        <w:t>支持服务业龙头企业加强与数智化转型服务商合作，推进行业垂直大模型研发攻关和应用。鼓励SaaS服务商面向中小企业提供低成本数字化解决方案。</w:t>
      </w:r>
      <w:r>
        <w:rPr>
          <w:rFonts w:hint="eastAsia" w:ascii="Times New Roman" w:hAnsi="Times New Roman" w:eastAsia="仿宋_GB2312" w:cs="Times New Roman"/>
          <w:b/>
          <w:bCs/>
          <w:color w:val="auto"/>
          <w:sz w:val="32"/>
          <w:szCs w:val="32"/>
          <w:u w:val="none"/>
          <w:lang w:val="en-US" w:eastAsia="zh-CN"/>
        </w:rPr>
        <w:t>二是打造名牌名品。</w:t>
      </w:r>
      <w:r>
        <w:rPr>
          <w:rFonts w:hint="eastAsia" w:ascii="Times New Roman" w:hAnsi="Times New Roman" w:eastAsia="仿宋_GB2312" w:cs="Times New Roman"/>
          <w:color w:val="auto"/>
          <w:sz w:val="32"/>
          <w:szCs w:val="32"/>
          <w:u w:val="none"/>
          <w:lang w:val="en-US" w:eastAsia="zh-CN"/>
        </w:rPr>
        <w:t>开展“皖美品牌”培育。探索建立具有本地化特色的服务品牌培育工作站。</w:t>
      </w:r>
      <w:r>
        <w:rPr>
          <w:rFonts w:hint="eastAsia" w:ascii="Times New Roman" w:hAnsi="Times New Roman" w:eastAsia="仿宋_GB2312" w:cs="Times New Roman"/>
          <w:b/>
          <w:bCs/>
          <w:color w:val="auto"/>
          <w:sz w:val="32"/>
          <w:szCs w:val="32"/>
          <w:u w:val="none"/>
          <w:lang w:val="en-US" w:eastAsia="zh-CN"/>
        </w:rPr>
        <w:t>三是推动产业融合发展。</w:t>
      </w:r>
      <w:r>
        <w:rPr>
          <w:rFonts w:hint="eastAsia" w:ascii="Times New Roman" w:hAnsi="Times New Roman" w:eastAsia="仿宋_GB2312" w:cs="Times New Roman"/>
          <w:color w:val="auto"/>
          <w:sz w:val="32"/>
          <w:szCs w:val="32"/>
          <w:u w:val="none"/>
          <w:lang w:val="en-US" w:eastAsia="zh-CN"/>
        </w:rPr>
        <w:t>推进重点产业集群与生产性服务业融合“一群一策”发展。到2030年，新培育服务型制造标杆企业和制造服务一体化应用场景5个以上。</w:t>
      </w:r>
      <w:r>
        <w:rPr>
          <w:rFonts w:hint="eastAsia" w:ascii="Times New Roman" w:hAnsi="Times New Roman" w:eastAsia="仿宋_GB2312" w:cs="Times New Roman"/>
          <w:b/>
          <w:bCs/>
          <w:color w:val="auto"/>
          <w:sz w:val="32"/>
          <w:szCs w:val="32"/>
          <w:u w:val="none"/>
          <w:lang w:val="en-US" w:eastAsia="zh-CN"/>
        </w:rPr>
        <w:t>四是加强服务业区域合作。</w:t>
      </w:r>
      <w:r>
        <w:rPr>
          <w:rFonts w:hint="eastAsia" w:ascii="Times New Roman" w:hAnsi="Times New Roman" w:eastAsia="仿宋_GB2312" w:cs="Times New Roman"/>
          <w:color w:val="auto"/>
          <w:sz w:val="32"/>
          <w:szCs w:val="32"/>
          <w:u w:val="none"/>
          <w:lang w:val="en-US" w:eastAsia="zh-CN"/>
        </w:rPr>
        <w:t>深度融入长三角一体化发展和苏皖鲁豫省际交界地区协同高质量发展行动。</w:t>
      </w:r>
    </w:p>
    <w:p w14:paraId="16429C7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b/>
          <w:bCs/>
          <w:color w:val="auto"/>
          <w:sz w:val="32"/>
          <w:szCs w:val="32"/>
          <w:u w:val="none"/>
          <w:lang w:val="en-US" w:eastAsia="zh-CN"/>
        </w:rPr>
        <w:t>第四部分是深化服务业改革创新突破。</w:t>
      </w:r>
      <w:r>
        <w:rPr>
          <w:rFonts w:hint="eastAsia" w:ascii="Times New Roman" w:hAnsi="Times New Roman" w:eastAsia="仿宋_GB2312" w:cs="Times New Roman"/>
          <w:color w:val="auto"/>
          <w:sz w:val="32"/>
          <w:szCs w:val="32"/>
          <w:u w:val="none"/>
          <w:lang w:val="en-US" w:eastAsia="zh-CN"/>
        </w:rPr>
        <w:t>主要包括2个方面。</w:t>
      </w:r>
      <w:r>
        <w:rPr>
          <w:rFonts w:hint="eastAsia" w:ascii="Times New Roman" w:hAnsi="Times New Roman" w:eastAsia="仿宋_GB2312" w:cs="Times New Roman"/>
          <w:b/>
          <w:bCs/>
          <w:color w:val="auto"/>
          <w:sz w:val="32"/>
          <w:szCs w:val="32"/>
          <w:u w:val="none"/>
          <w:lang w:val="en-US" w:eastAsia="zh-CN"/>
        </w:rPr>
        <w:t>一是营造企业发展良好环境。</w:t>
      </w:r>
      <w:r>
        <w:rPr>
          <w:rFonts w:hint="eastAsia" w:ascii="Times New Roman" w:hAnsi="Times New Roman" w:eastAsia="仿宋_GB2312" w:cs="Times New Roman"/>
          <w:color w:val="auto"/>
          <w:sz w:val="32"/>
          <w:szCs w:val="32"/>
          <w:u w:val="none"/>
          <w:lang w:val="en-US" w:eastAsia="zh-CN"/>
        </w:rPr>
        <w:t>开展本地服务业隐性准入壁垒自查清理。持续推进政务服务“一网、一门、一次”改革。</w:t>
      </w:r>
      <w:r>
        <w:rPr>
          <w:rFonts w:hint="eastAsia" w:ascii="Times New Roman" w:hAnsi="Times New Roman" w:eastAsia="仿宋_GB2312" w:cs="Times New Roman"/>
          <w:b/>
          <w:bCs/>
          <w:color w:val="auto"/>
          <w:sz w:val="32"/>
          <w:szCs w:val="32"/>
          <w:u w:val="none"/>
          <w:lang w:val="en-US" w:eastAsia="zh-CN"/>
        </w:rPr>
        <w:t>二是加快场景应用创新。</w:t>
      </w:r>
      <w:r>
        <w:rPr>
          <w:rFonts w:hint="eastAsia" w:ascii="Times New Roman" w:hAnsi="Times New Roman" w:eastAsia="仿宋_GB2312" w:cs="Times New Roman"/>
          <w:color w:val="auto"/>
          <w:sz w:val="32"/>
          <w:szCs w:val="32"/>
          <w:u w:val="none"/>
          <w:lang w:val="en-US" w:eastAsia="zh-CN"/>
        </w:rPr>
        <w:t>加快打造一批以“三首”“三新”产品培育认定推广为重点的高价值标杆场景。推进制造服务一体化应用场景培育和商业化应用解决方案。</w:t>
      </w:r>
    </w:p>
    <w:p w14:paraId="177B701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pPr>
      <w:r>
        <w:rPr>
          <w:rFonts w:hint="eastAsia" w:ascii="Times New Roman" w:hAnsi="Times New Roman" w:eastAsia="仿宋_GB2312" w:cs="Times New Roman"/>
          <w:b/>
          <w:bCs/>
          <w:color w:val="auto"/>
          <w:sz w:val="32"/>
          <w:szCs w:val="32"/>
          <w:u w:val="none"/>
          <w:lang w:val="en-US" w:eastAsia="zh-CN"/>
        </w:rPr>
        <w:t>第五部分是夯实服务业主体项目支撑。</w:t>
      </w:r>
      <w:r>
        <w:rPr>
          <w:rFonts w:hint="eastAsia" w:ascii="Times New Roman" w:hAnsi="Times New Roman" w:eastAsia="仿宋_GB2312" w:cs="Times New Roman"/>
          <w:color w:val="auto"/>
          <w:sz w:val="32"/>
          <w:szCs w:val="32"/>
          <w:u w:val="none"/>
          <w:lang w:val="en-US" w:eastAsia="zh-CN"/>
        </w:rPr>
        <w:t>主要包括3个方面。</w:t>
      </w:r>
      <w:r>
        <w:rPr>
          <w:rFonts w:hint="eastAsia" w:ascii="Times New Roman" w:hAnsi="Times New Roman" w:eastAsia="仿宋_GB2312" w:cs="Times New Roman"/>
          <w:b/>
          <w:bCs/>
          <w:color w:val="auto"/>
          <w:sz w:val="32"/>
          <w:szCs w:val="32"/>
          <w:u w:val="none"/>
          <w:lang w:val="en-US" w:eastAsia="zh-CN"/>
        </w:rPr>
        <w:t>一是培育壮大市场主体。</w:t>
      </w:r>
      <w:r>
        <w:rPr>
          <w:rFonts w:hint="eastAsia" w:ascii="Times New Roman" w:hAnsi="Times New Roman" w:eastAsia="仿宋_GB2312" w:cs="Times New Roman"/>
          <w:color w:val="auto"/>
          <w:sz w:val="32"/>
          <w:szCs w:val="32"/>
          <w:u w:val="none"/>
          <w:lang w:val="en-US" w:eastAsia="zh-CN"/>
        </w:rPr>
        <w:t>完善全周期培育体系，梯度培育一批服务业优质企业成长为单项冠军。鼓励个体工商“个转企”、企业“小升规”。</w:t>
      </w:r>
      <w:r>
        <w:rPr>
          <w:rFonts w:hint="eastAsia" w:ascii="Times New Roman" w:hAnsi="Times New Roman" w:eastAsia="仿宋_GB2312" w:cs="Times New Roman"/>
          <w:b/>
          <w:bCs/>
          <w:color w:val="auto"/>
          <w:sz w:val="32"/>
          <w:szCs w:val="32"/>
          <w:u w:val="none"/>
          <w:lang w:val="en-US" w:eastAsia="zh-CN"/>
        </w:rPr>
        <w:t>二是加强基础设施支撑。</w:t>
      </w:r>
      <w:r>
        <w:rPr>
          <w:rFonts w:hint="eastAsia" w:ascii="Times New Roman" w:hAnsi="Times New Roman" w:eastAsia="仿宋_GB2312" w:cs="Times New Roman"/>
          <w:color w:val="auto"/>
          <w:sz w:val="32"/>
          <w:szCs w:val="32"/>
          <w:u w:val="none"/>
          <w:lang w:val="en-US" w:eastAsia="zh-CN"/>
        </w:rPr>
        <w:t>盘活用好低效用地、闲置房产等存量基础设施。支持商圈、老旧街区、农贸市场等改造提升。</w:t>
      </w:r>
      <w:r>
        <w:rPr>
          <w:rFonts w:hint="eastAsia" w:ascii="Times New Roman" w:hAnsi="Times New Roman" w:eastAsia="仿宋_GB2312" w:cs="Times New Roman"/>
          <w:b/>
          <w:bCs/>
          <w:color w:val="auto"/>
          <w:sz w:val="32"/>
          <w:szCs w:val="32"/>
          <w:u w:val="none"/>
          <w:lang w:val="en-US" w:eastAsia="zh-CN"/>
        </w:rPr>
        <w:t>三是推动产业集聚发展。</w:t>
      </w:r>
      <w:r>
        <w:rPr>
          <w:rFonts w:hint="eastAsia" w:ascii="Times New Roman" w:hAnsi="Times New Roman" w:eastAsia="仿宋_GB2312" w:cs="Times New Roman"/>
          <w:color w:val="auto"/>
          <w:sz w:val="32"/>
          <w:szCs w:val="32"/>
          <w:u w:val="none"/>
          <w:lang w:val="en-US" w:eastAsia="zh-CN"/>
        </w:rPr>
        <w:t>实施服务业集聚区示范引领工程。支持生产性服务业集聚区与县域特色产业集群（基地）伴生布局。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0"/>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小标宋简体">
    <w:altName w:val="汉仪书宋二KW"/>
    <w:panose1 w:val="02000000000000000000"/>
    <w:charset w:val="00"/>
    <w:family w:val="auto"/>
    <w:pitch w:val="default"/>
    <w:sig w:usb0="00000000" w:usb1="00000000" w:usb2="00000012" w:usb3="00000000" w:csb0="00040001" w:csb1="00000000"/>
  </w:font>
  <w:font w:name="楷体_GB2312">
    <w:altName w:val="汉仪楷体简"/>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仿宋">
    <w:altName w:val="仿宋-简"/>
    <w:panose1 w:val="02010609060101010101"/>
    <w:charset w:val="00"/>
    <w:family w:val="auto"/>
    <w:pitch w:val="default"/>
    <w:sig w:usb0="00000000" w:usb1="00000000" w:usb2="00000016" w:usb3="00000000" w:csb0="00040001" w:csb1="00000000"/>
  </w:font>
  <w:font w:name="汉仪楷体简">
    <w:panose1 w:val="02010600000101010101"/>
    <w:charset w:val="86"/>
    <w:family w:val="auto"/>
    <w:pitch w:val="default"/>
    <w:sig w:usb0="00000001" w:usb1="080E0800" w:usb2="00000002" w:usb3="00000000" w:csb0="00040000" w:csb1="00000000"/>
  </w:font>
  <w:font w:name="仿宋-简">
    <w:panose1 w:val="02010609060101010101"/>
    <w:charset w:val="86"/>
    <w:family w:val="auto"/>
    <w:pitch w:val="default"/>
    <w:sig w:usb0="A00002BF" w:usb1="3A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639568"/>
    <w:rsid w:val="FB639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2026-08-14T16:46:00Z</dcterms:created>
  <dc:creator>贝加尔湖畔</dc:creator>
  <cp:lastModifiedBy>贝加尔湖畔</cp:lastModifiedBy>
  <dcterms:modified xsi:type="dcterms:W3CDTF">2026-08-14T16:52:14Z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CD70233862A3B81AFED57E6A08A4C6F5_41</vt:lpwstr>
  </property>
</Properties>
</file>